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Opracowanie dokumentacji projektowej wraz z analizą rzeczowo-finansową dla zadania pn. “Budowa budynków wielorodzinnych w Pasłęku”  - etap I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gXRZGp1SGbJOhjbZbyE61uG0/Q==">CgMxLjAyCGguZ2pkZ3hzMgloLjMwajB6bGw4AGojChRzdWdnZXN0LjRuZGVxdGx1MnRndRILS2Fyb2wgTm93YWtyITF3U0N0TVNQRjE1MUE3N2psR2w4dTI4cWVoSFpTa1RwQg==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