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E4" w:rsidRPr="009B5EBB" w:rsidRDefault="009B5EBB" w:rsidP="005A7561">
      <w:pPr>
        <w:jc w:val="center"/>
        <w:rPr>
          <w:b/>
        </w:rPr>
      </w:pPr>
      <w:r w:rsidRPr="009B5EBB">
        <w:rPr>
          <w:b/>
        </w:rPr>
        <w:t>Załącznik nr</w:t>
      </w:r>
      <w:r w:rsidR="005A7561">
        <w:rPr>
          <w:b/>
        </w:rPr>
        <w:t xml:space="preserve"> 3 </w:t>
      </w:r>
      <w:r w:rsidRPr="009B5EBB">
        <w:rPr>
          <w:b/>
        </w:rPr>
        <w:t xml:space="preserve"> do SWZ – Opis przedmiotu zamówienia</w:t>
      </w:r>
    </w:p>
    <w:p w:rsidR="005A7561" w:rsidRPr="005A7561" w:rsidRDefault="005A7561" w:rsidP="005A756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7561" w:rsidRPr="005A7561" w:rsidRDefault="005A7561" w:rsidP="005A7561">
      <w:pPr>
        <w:tabs>
          <w:tab w:val="left" w:pos="9071"/>
        </w:tabs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u w:val="single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u w:val="single"/>
          <w:lang w:eastAsia="pl-PL"/>
        </w:rPr>
        <w:t>Instrukcja wypełniania załącznika nr 3: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1. Wykonawca sporządzając ofertę wypełnia jedynie kolumnę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Parametry oferowanego </w:t>
      </w:r>
      <w:r w:rsidRPr="005A75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urządzenia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”.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2. Wykonawca wypełnia wszystkie wiersze kolumny 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„Parametry oferowanego </w:t>
      </w:r>
      <w:r w:rsidRPr="005A75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urządzenia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” uwzględniając zapisy w poszczególnych wierszach i kolumnach poniższej tabeli. 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3. Jeśli w kolumnie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Parametr graniczny/wartość”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występuje zapis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TAK”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to oznacza, iż Zamawiający bezwzględnie wymaga parametru podanego w kolumnie 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„Opis </w:t>
      </w:r>
      <w:r w:rsidRPr="005A75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wymaganych parametrów technicznych/pakiet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”.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Wykonawca w celu potwierdzenia spełnienia parametru zobowiązany jest do wpisania słowa 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„TAK”.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4. W przypadku, gdy w kolumnie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Parametr graniczny/wartość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” występuje zapis: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podać; opisać; wymienić; wyszczególnić; itp.”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Wykonawca zobowiązany jest do podania; opisania; wymienienia; wyszczególnienia; itp. parametrów dla zaoferowanego produktu.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Calibri" w:hAnsi="Verdana" w:cs="Times New Roman"/>
          <w:sz w:val="18"/>
          <w:szCs w:val="18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5. 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W przypadku, gdy w kolumnie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„Parametr graniczny/wartość”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występuje zapis: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„TAK, podać; TAK, opisać; TAK, wymienić; TAK, wyszczególnić; itp.”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to Wykonawca zobowiązany jest do wpisania słowa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oraz do podania; opisania; wymienienia; wyszczególnienia; itp. parametrów dla zaoferowanego produktu.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6. 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W przypadku, gdy w kolumnie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„Parametr graniczny/wartość”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występuje zapis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„TAK/nie”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Wykonawca przypadku spełniania lub niespełniania parametru wpisuje odpowiednio słowo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lub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„nie”.</w:t>
      </w:r>
    </w:p>
    <w:p w:rsidR="009B5EBB" w:rsidRDefault="009B5EBB"/>
    <w:p w:rsidR="009B5EBB" w:rsidRDefault="009B5EB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544"/>
        <w:gridCol w:w="1841"/>
        <w:gridCol w:w="1319"/>
        <w:gridCol w:w="1038"/>
      </w:tblGrid>
      <w:tr w:rsidR="009B5EBB" w:rsidRPr="009B5EBB" w:rsidTr="005A7561">
        <w:trPr>
          <w:trHeight w:val="702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6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wymaganych parametrów technicznych/pakiet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 graniczny/wartość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Parametry oferowanego urządzenia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Punktacja</w:t>
            </w:r>
          </w:p>
        </w:tc>
      </w:tr>
      <w:tr w:rsidR="009B5EBB" w:rsidRPr="009B5EBB" w:rsidTr="005A7561">
        <w:trPr>
          <w:trHeight w:val="499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PAKIET I - Mikrotom - 1 zestaw 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9" w:type="pct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CPV: 38000000-5 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nie demonstracyjny, nie powystawowy, rok produkcji, min.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mikrotom automatyczny umożliwiający cięcie/trymowanie manualne i automatyczne z systemem transportu skrawków po torze wodnym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zakres grubości cięcia, min. od 0,5 do 100 [µm]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cięcie nastawiane w zakresach. min.: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0,5 do 5 [µm] skok co 0,5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5 do 20 [µm] skok co 1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20 do 30 [µm] skok co 2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30 do 60 [µm] skok co 5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60 do 100 [µm] skok co 10 [µm]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zakres trymowania (TRIM), min. od 5 do 500 [µm]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105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trymowanie nastawiane w zakresach, min.: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5 do 30 [µm] skok co 5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30 do 100 [µm] skok co 10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100 do 200 [µm] skok co 20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200 do 500 [µm] skok co 50 [µm]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płynna regulacja szybkościa cięcia min. od 0 do 450 [mm/s]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funkcja retrakcji podczas ruchu powrotnego głowicy mikrotomu 40 [µm] z możliwością wyłączenia, sygnalizacja retrakcji diodą na panelu sterowania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min. 4 tryby pracy cięcia - cięcie pojedyncze, ciągłe, wielokrotne oraz ciągłe do momentu zwolnienia przyisku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mocowanie próbki z precyzyjną regulacją w płaszczyźnie X i Y o kąt 8 [°], z oznaczeniem pozycji 0/0[°]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obrotu preparatu w uchwycie o 360 [°]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pionowy zakres ruchu głowicy, min. 72 [mm]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poziomy zakres ruchu głowicy, min. 28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minimum 8 prędkości wysuwu głowicy – od najwolniejszego do najszybszego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minimum 8 prędkości cofania głowicy - od najwolniejszego do najszybszego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funkcja zapamiętania pozycji głowicy, umożliwiająca przywrócenie zapamiętanej pozycji głowicy mikrotomu np. po zmianie bloczka lub noża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awaryjny wyłącznik bezpieczeństwa umieszczony po prawej stronie mikrotomu obok koła zamachowego, w chwili naciśnięcia wyłącza wszystkie silniki mikrotomu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uchwyt do żyletek zamocowany na dwóch szynach, umożliwiających przesuw uchwytu do przodu/tyłu w zakresie, min. 70 [mm]. Pomiędzy szynami przestrzeń o szerokości, min. 90 [mm] 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uchwyt do żyletek z regulacją kąta natarcia noża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uchwyt do żyletek wyposażony w osłonę na nóż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wsuwana rączka do wnętrza koła zamachowego o długości min. 65 [mm] i 22 [mm] po wsunięciu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63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maksymalna odległość od rękojeści korby zamachowej (położonej w punkcie najdalszym) do krawędzi blatu roboczego po stronie użytkownika, max. 530 [mm]. Odległość ta dotyczy urządzenia spoczywającego prawidłowo w całości na blacie roboczym (brak wystających krawędzi urządzenia poza obszar blatu)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2 hamulce koła zamachowego w tym jeden manualny umiejscowiony pod kołem zamachowym, drugi elektromechaniczny załączany z panelu sterowania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mocowanie uchwytu żyletek stabilne i precyzyjne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panel sterowania mikrotomu wyposażony w wyświetlacz LCD o przekątnej min. 70 [mm], wyświetlający min. 8 wierszy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 przekątną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21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panel sterowania musi posiadać, min.: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możliwość zmiany czcionki – min. 2 wielkości (standardowa i powiększona)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możliwość ustawienia i wyświetlania daty i godziny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licznik skrawków z możliwością resetowania licznika w dowolnym momencie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sumowanie wartości skrojonego materiału wyrażona w µm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wartość wysuwu głowicy wyświetlana na ekranie w µm, min. od 0 do 28000 [µm] z dokładnością do 1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wyświetlać wartość nastawy cięcia i trymowania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wartość prędkości w trybie automatycznym wyświetlaną na ekranie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aktualny tryb cięcia automatycznego wyświetlany na ekranie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- sygnalizacja elektromechanicznej blokady koła zamachowego za pomocą świecącej diody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63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panel sterowania połączony z mikrotomem przewodem umożliwiającym umiejscowienie panelu w dowolnym miejscu w obszarze pracy mikrotomu. Wyprofilowana obudowa mikrotomu do mocowania panelu sterowania (oszczędność miejsca) umożliwiająca swobodną obsługę i wizualną kontrolę panelu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załączanie cięcia automatycznego za pomocą podwójnego wciśnięcia gałki (pierwsze wciśnięcie zwalnia blokadę hamulca elektromechanicznego), ponowne wciśnięcie gałki podczas cięcia zatrzymuje koło zamachowe i załącza hamulec elektromechaniczny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panel sterowania wyposażony w 3 gałki sterujące z możliwością umieszczenia ich po lewej lub prawej stronie panelu.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Minimalne funkcje gałki nr 1: regulacja grubości cięcia, trymowania, przeskok z trybu cięcia na trymowanie poprzez wciśnięcie gałki; nastawa wartości poprzez przekręcanie gałki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Minimalne funkcja gałki nr 2: Przesuw głowicy przód/tył. Automatyczny wysuw głowicy o zadaną wartość w trybie cięcia lub trymowania realizowana przez wciśnięcie gałki. Możliwość wyboru wartości wysuwu z całego zakresu cięcia i trymowania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Minimalne funkcja gałki nr 3: Regulacja szybkości cięcia wyskalowana w zakresie od 0 do 100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63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uchwyt do cięcia przystosowany do zamontowania nożyków jednorazowych niskoprofilowych i wysokoprofilowych z zaciskowym mechanizmem zapewniającym stabilne i precyzyjne mocowanie żyletek, zintegrowany z podświetlaną łaźnią i systemem transportu skrawków po torze wodnym bezpośrednio do łaźni wodnej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pojemność łaźni wodnej, min. 800 [ml]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regulacja temperatury wody w łaźni w zakresie, min. od 20 do 50 [°C]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zamknięty system obiegu wody o pojemności min. 500 [ml] z regulacją szybkości przepływu wody po torze wodnym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regulacja przepływu strumienia wody po torze wodnym za pomocą pokrętła umieszczonego po lewej stronie obudowy łaźni wodnej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tor wodny wyposażony w metalowe sitko na ścinki umieszczone pod torem wodnym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wbudowane podświetlenie łaźni wodnej typu LED (bez zewnętrznych przyłączy elektrycznych), załączane z panelu sterowania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automatyczne wyłączenie podgrzewania po wyjęciu misy z łaźni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zewnętrzna jednostka (nie wbudowana w łaźnie) sterująca łaźnią posiada: panel sterowania typu LED z regulacją temperatury, włącznikiem on/off, przyciskiem załączającym pompę wodną do opróżniania łaźni wodnej i odpowietrzania pompy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jednostka sterująca łaźnią z możliwością umieszczenia w dowolnej pozycji w obszarze pracy, np. na mikrotomie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wbudowany czujnik temperatury w łaźni wodnej (bez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zewnętrznych przyłączy elektrycznych)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 mikrotomu, max. (szer. x gł. x wys.): 410 x 520 x 280 [mm]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dodatkowy uchwyt do żyletek niskoprofilowych służący do pracy bez toru wodnego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zestawie, min.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3 opakowania po 50 sztuk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żyletek o kącie 34[°] niskoprofilowe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Warunki gwarancji i serwisu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przeglądu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podać częstotliwość przeglądów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przystąpienia do naprawy, max. 72 [h] od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naprawy, max. 7 dni od daty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serwisu, adres, nr telefonu i faksu, osoba kontaktowa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produkt posiadający deklarację zgodności - deklaracja zgodnośc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 </w:t>
            </w: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 języku polskim lub angielskim dostarczona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instrukcja obsługi do każdego egzemplarza oferowanego urządzenia w języku polskim oraz dodatkowa instrukcja obsługi (obowiązkowo wersja elektroniczna) dla Działu Inżynierii Klinicznej -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wszelkie czynności i koszty związane z dostarczeniem, wniesieniem, montażem, uruchomieniem oferowanego w pakiecie przedmiotu zamówienia leżą po stronie Wykonawcy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</w:tbl>
    <w:p w:rsidR="005A7561" w:rsidRDefault="005A756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545"/>
        <w:gridCol w:w="1841"/>
        <w:gridCol w:w="1319"/>
        <w:gridCol w:w="1037"/>
      </w:tblGrid>
      <w:tr w:rsidR="009B5EBB" w:rsidRPr="009B5EBB" w:rsidTr="005A7561">
        <w:trPr>
          <w:trHeight w:val="499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PAKIET II - Zatapiarka - 1 zestaw 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9" w:type="pct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CPV: 38000000-5 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nie demonstracyjny, nie powystawowy, rok produkcji, min.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dwumodułowa zatapiarka do bloczków/kasetek histopatologicznych 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zbiornik na parafinę, zapewniający całodzienną pracę bez dodatkowego uzupełniania parafiny, min. 5 [l]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komora na parafinę wyposażona w filtr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pojemnik do przechowywania wanienek umieszczony z prawej strony dozownika parafiny, nad pojemnikiem na kasetki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zbiornik do przechowywania kasetek o pojemności, min. 300 kasetek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niezależna cyfrowa regulacja temperatury każdego zbiornika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pracy z każdym rodzajem kasetek typu Standard, Mega oraz Super Mega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wbudowane w urządzenie podgrzewane miejsca na różnej wielkości pęsety, min. 10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regulacji ustawień temperatury wszystkich elementów podgrzewanych w zakresie, min. od 50 do 70 [°]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moduł dozownika wyposażony w zimny punkt o temperaturze 5 [°] pozwalający na tymczasowe, szybkie chłodzenie kasetek (w tym kasetek typu Super Mega)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zimny punkt oparty o moduł peltiera o przekątnej, min. 80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oświetlenie LED z możliwością wybierania intensywności światła - min. 5 poziomów intensywności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osobne załączane oświetlenie LED dla obszaru roboczego oraz dla obszaru akcesoriów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zmiany położenia przycisku wylewu parafiny w celu ułatwienia pracy z kasetkami różnych rozmiarów, t.j. standardowych, mega i super mega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programowania czasu pracy urządzenia w cyklu dobowym i tygodniowym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duży czytelny ekran dotykowy, o przekątnej min. 130 [mm] pozwalający na szybki dostęp do dokładnych nastaw oraz odczytów i kontroli temperatury we wszystkich zbiornikach i module chłodzącym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 przekątną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regulacji kontrastu wyświetlanych parametrów na ekranie urządzenia w skali, min. od 1 do 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ustawienia sygnału dźwiękowego tak aby pojawiał się przy każdym uruchomieniu ekranu dotykowego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wbudowane gniazdo elektrycznej pęsety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wbudowany w urządzenie trymer do kasetek, zlokalizowany z lewej strony dozownika parafiny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moduł płyty chłodzącej z możliwością niezależnej pracy od modułu dozownika parafiny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regulacja temperatury płyty chłodzącej w zakresie, min. od -3 do -12 [°C]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przypadku pracy płyty chłodzącej bez podłączenia do zatapiarki, możliwość sterowania temperaturą pracy manualnie za pomocą pokrętła w zakresie, min. od -3 do -12 [°C]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ustawienia płyty chłodzącej zarówno z lewej jak i prawej strony dozownika parafiny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półka na dokumenty medyczne i drobne akcesoria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opróżnienia zbiornika na kasetki z parafiny przez zawór spustowy bezpośrednio do pojemnika na odpady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oświetlenie kranika parafiny i przestrzeni do zatapiania załączane automatycznie wraz z naciśnięciem przycisku do wylewu parafiny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profilowana, wbudowana w obudowę, podgrzewana rynienka umożliwiająca przechowywanie dociskaczy, wymiary rynienki min. (szer. x gł. x wys.) 100 x 50 x 30 [mm]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 modułu dozownika, min. (szer. x gł. x wys.): 650 x 585 x 430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 płyty chłodzącej, min. (szer. x gł. x wys.): 430 x 580 x 360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wymiary pojemnik na kasetki, min. 310 x 380 [mm]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waga modułu dozownika, max. 25 [kg]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[2,1]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waga płyty chłodzącej, max. 20 [kg]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[2,1]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zestawie dociskacze do materiału o wielkościach, min. 12 oraz 20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półka na dokumenty medyczne i drobne akcesoria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wyposażenie dodatkowe: podgrzewane pęsety o końcówkach 1 i 2 [mm], znakowane kolorystycznie dla łatwego rozróżnienia pęset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Warunki gwarancji i serwisu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przeglądu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podać częstotliwość przeglądów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przystąpienia do naprawy, max. 72 [h] od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naprawy, max. 7 dni od daty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serwisu, adres, nr telefonu i faksu, osoba kontaktowa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produkt posiadający deklarację zgodności - deklaracja zgodnośc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 </w:t>
            </w: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 języku polskim lub angielskim dostarczona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instrukcja obsługi do każdego egzemplarza oferowanego urządzenia w języku polskim oraz dodatkowa instrukcja obsługi (obowiązkowo wersja elektroniczna) dla Działu Inżynierii Klinicznej -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35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wszelkie czynności i koszty związane z dostarczeniem, wniesieniem, montażem, uruchomieniem oferowanego w pakiecie przedmiotu zamówienia leżą po stronie Wykonawcy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</w:tbl>
    <w:p w:rsidR="005A7561" w:rsidRDefault="005A756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545"/>
        <w:gridCol w:w="1841"/>
        <w:gridCol w:w="1319"/>
        <w:gridCol w:w="1037"/>
      </w:tblGrid>
      <w:tr w:rsidR="009B5EBB" w:rsidRPr="009B5EBB" w:rsidTr="005A7561">
        <w:trPr>
          <w:trHeight w:val="499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PAKIET III - Procesor tkankowy- 1 zestaw 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9" w:type="pct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CPV: 38000000-5 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nie demonstracyjny, nie powystawowy, rok produkcji, min.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pełni automatyczny procesor tkankowy działający w technologii hybrydowej -  połączenie technologii konwencjonalnej i mikrofalowej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dwie retorty - chemiczną oraz parafinującą. Obie retorty wyposażone w mieszadła magnetyczne z regulacją prędkości. Pokrywy retort podgrzewane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możliwość przeprowadzenia jednorazowo (wkład jednorazowy = pojemność całkowita uchwytu na kasetki) min. 210 standardowych kasetek histopatologicznych z wykorzystaniem programu szybkiego mikrofalowego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pracy w systemie ciągłym automatycznym z możliwością uruchamiania kolejnego programu w trakcie impregnacji parafiną poprzedniego programu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standardowego przeprowadzania segregowanych materiałów w zakresach grubości 1÷10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wykorzystujące odczynniki ogólnie dostępne na rynku możliwe do zakupienia z dowolnego źródła (etanol absolutny, izopropanol, parafina)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maksymalne czasy przeprowadzania materiału tkankowego z wykorzystaniem programu mikrofalowego automatycznego (przy zachowaniu zasady segre-gacji grubości materiału):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&lt;1 [mm] (małe biopsje) - pełny wsad (min. 210 kasetek) max. 1 [godz] (wliczając utrwalanie)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1 [mm] (biopsje) - pełny wsad (min. 210 kasetek) max. 2 [godz] (wliczając utrwalanie)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3 [mm] - pełny wsad (min. 210 kasetek) max. 3 [godz]  (wliczając utrwalanie)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5 [mm] - pełny wsad (min. 210 kasetek) max. 6 [godz] (wliczając utrwalanie)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[3,1]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maksymalne czasy przeprowadzania materiału tkankowego podczas pracy w systemie mikrofalowym ciągłym automatycznym z dokładaniem materiału tkankowego podczas trwania procesu (przy zachowaniu zasady segregacji grubości materiału):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&lt;1 [mm] (małe biopsje) - pełny wsad (min. 210 kasetek) co max. 40 [min]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1 [mm] (biopsje) - pełny wsad (min. 210 kasetek) co max. 1,5 [godz]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3 [mm] - pełny wsad (min. 210 kasetek) co max. 2 [godz]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5 [mm] - pełny wsad (min. 210 kasetek) co max. 4 [godz]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[3,1]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programowania pracy procesora (czasów przeprowadzania materiału) dla różnych grubości materiału tkankowego, niezależnie od ustawień fabrycznych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modyfikacji zainstalowanych fabrycznie programów przeprowadzania materiału tkankowego w zależności od potrzeb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pracy na urządzeniu z wykorzystaniem konwencjonalnego podgrzewania odczynników bez użycia mikrofal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 pełni diagnozowalne zdalnie za pośrednictwem sieci szpitalnej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odczynniki umieszczone w wentylowanej wysuwanej szufladzie zapewniającej łatwy dostęp do wszystkich odczynników i ich wymiany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podłączenia do urządzenia odczynników w ich oryginalnych opakowaniach 5 [L] bez konieczności przelewania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wymiany odczynników w trakcie przeprowadzania materiału w komorze chemicznej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zabezpieczenia wymiany odczynników za pomogą czytnika kodów kreskowych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szereg szybkozłączek, osobno do każdego odczynnika w celu szybkiej wymiany odczynnika i zabezpieczenia  przed zanieczyszczeniem odczynników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brak cykli czyszczących w programach dziennych jak i po programach nocnych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procesor sterowany poprzez kolorowy wyświetlacz z panelem dotykowym LCD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oprogramowanie oparte na prowadzeniu ikonowym dla zmniejszenia ryzyka błędu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min. 2 porty USB umożliwiające zgrywanie danych z pamięci procesora, przyłącze do UPS, przyłącze sieciowe do diagnostyki zdalnej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podąć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system zabezpieczony hasłem – możliwość utworzenia wielu kont użytkowników z różnym poziomem dostępu zabezpieczonych osobnymi hasłami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alarm zdarzeń i błędów urządzenia w postaci dźwięków i sygnałów świetlnych przy użyciu kolorowych diod LED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rozbudowy urządzenia o statyw do automatycznego zatapiania materiału po zakończonym procesie, pojemność min. 45 kasetek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przeprowadzania do min. 600 kasetek w trybie ciągłym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min. 2 automatyczne niezależnie pracujące ramiona umożliwiające automatyczne przeniesienie statywu z kasetkami z komory chemicznej do komory parafinującej bez ingerencji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unoszoną pokrywę obszaru roboczego z filtrami węglowymi i przeciwpyłowymi dla zwiększenia bezpieczeństwa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antybakteryjna powłoka proszkowa zapewniająca najwyższą ochronę przed namnażaniem się mikroorganizmów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czujnik wykrywający obecność statywu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licznik czasu uruchamiania programu - zbyt długie wybieranie programu sygnalizowane alarmem  w celu zabezpieczenia materiału przed uszkodzeniem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dodatkową rezerwową komorę na parafinę o pojemności min. 4 [kg] z systemem automatycznego uzupełniania poziomu parafiny w komorze głównej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wysoce czuły ultradźwiękowy czujnik odczynników wykrywający prawidłowy roztwór i jego czystość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 zewnętrzne max.: (szer. x wys. x gł.) 760  (880 z zamontowanym czytnikiem kodów) x  1650  x  960  (1050 z baterią UPS)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waga, max. 300 [kg]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zasilanie: 220-240 [V] ~ 50 [Hz] -2300 [W]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Wyposażenie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statyw do przeprowadzania materiału tkankowego przy wykorzystaniu programów szybkich mikrofalowych (przy zachowaniu zasady segregacji grubości materiału) na min. 210 kasetek –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2 sztuki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statyw na min. 300 kasetek do przeprowadzania materiału tkankowego -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 sztuka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kompletny zestaw filtrów wymaganych do pracy urządzenia przez okres min.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36 miesięcy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UPS – urządzenie do podtrzymywania napięcia w przypadku awarii zasilania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do czyszczenia statywów z parafiny – protokół czyszczący max. 7 [min]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baniaki na odczynniki -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10 sztuk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licencja oprogramowania umożliwiającego integrację z systemem LIS –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licencja roczna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84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odczynniki dedykowane przez producenta do procesowania materiału oraz odparafinowywania statywów: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odczynniki dedykowane przez producenta urządzenia do odwadniania materiałów tłustych: 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10 x 5000 [ml]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odczynniki dedykowane przez producenta urządzenia od prześwietlania materiałów tłustych: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15 x 5000 [ml]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dczynnik do odparafinowania statywów: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8 x 5000 [ml]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Warunki gwarancji i serwisu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36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przeglądu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podać częstotliwość przeglądów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przystąpienia do naprawy, max. 72 [h] od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naprawy, max. 7 dni od daty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serwisu, adres, nr telefonu i faksu, osoba kontaktowa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produkt posiadający deklarację zgodności - deklaracja zgodnośc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 </w:t>
            </w: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 języku polskim lub angielskim dostarczona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instrukcja obsługi do każdego egzemplarza oferowanego urządzenia w języku polskim oraz dodatkowa instrukcja obsługi (obowiązkowo wersja elektroniczna) dla Działu Inżynierii Klinicznej -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wszelkie czynności i koszty związane z dostarczeniem, wniesieniem, montażem, uruchomieniem oferowanego w pakiecie przedmiotu zamówienia leżą po stronie Wykonawcy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99"/>
        </w:trPr>
        <w:tc>
          <w:tcPr>
            <w:tcW w:w="2722" w:type="pct"/>
            <w:gridSpan w:val="2"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PAKIET IV - Laserowa drukarka do kaset VEGA - 1 sztuka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CPV: 38000000-5 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nie demonstracyjny, nie powystawowy, rok produkcji, min.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55247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5247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laserowa drukarka z oprogramowaniem i bezterminową licencją do znakowania kaset histopatologicznych</w:t>
            </w:r>
            <w:bookmarkStart w:id="0" w:name="_GoBack"/>
            <w:bookmarkEnd w:id="0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nadruk na jednej stronie kasetki - od frontu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całkowity czas drukowania, max. 5 [sek.] (w tym min. cyfry, litery, kod data MATRIX/logo)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[2,1]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użycia, min. 100 znaków w kodzie Data MATRIX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druk odporny na odczynniki chemiczne stosowane w procesie histopatologicznym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druk laserowy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kolor wydruku ciemnoszary (bardzo wyraźny i czytelny) na kasetkach histopatologicznych dedykowanych do drukarki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min. 6 automatycznie zmieniających się podajników o łącznej pojemności min. 480 kasetek, wydajność min. 720 kasetek na godzinę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rozdzielczość druku: min. 600 [dpi]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powierzchnia nadruku: max. 28,5  x 7,2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bezzapachowa, wolna od ozonu, cicha praca wyrobu (druk bezszmerowy)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komunikacja drukarki z systemem informatycznym zakładu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doposażenia w dodatkową tacę z zestawem min. sześciu podajników do dodatkowego uzupełniania kasetek poza urządzeniem i drukowania na różnych typach, kolorach kasetek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drukarka wyposażona w czujnik pozycji kasetki  pozwalający na równomierne rozmieszczenie nadruku na powierzchni  kasetki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47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kolorystyczne oznakowanie stanu pracy urządzenia: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niebieski – urządzenie gotowe do drukowania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podświetlenie urządzenia na kolor zielony– drukowanie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podświetlenie urządzenia na kolor żółty – pauza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czerwony – sygnalizacja błędu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fioletowy– restart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pomarańczowy – zatrzymanie pracy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63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możliwość  doposażenia min. 2 różne typy odbiorników kasetek – sorter z szufladkowym odbiornikiem na min. 25 kasetek oraz sorter typu duo pozwalający na rozdzielane drukowanych kasetek na 2 osobne tace odbiorcze – możliwość ustawienia jednej drukarki do kasetek pomiędzy dwoma niezależnymi stanowiskami pobierania materiału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trwałość lasera, min.  72 mln kasetek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nie generujące dodatkowych kosztów związanych z koniecznością zakupu dodatkowych materiałów eksploatacyjnych takich jak taśmy, głowice drukujące, lampa UV, filtry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interfejs komunikacyjny: USB B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moc, max. 70 [W]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wymiary, max. (szer. x gł. x wys.) 280 x 620 x 580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 lasera, min. 2,2 [WAT]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waga, max. 27 [kg]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555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pełna intergracja i kompatybilnośc zamawianej drukarki do kaset VEGA z systemem operacyjnym PatARCH posiadanym przez Zamawiającego w aktualnie posiadanej wersji oprogramowania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Warunki gwarancji i serwisu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przeglądu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podać częstotliwość przeglądów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przystąpienia do naprawy, max. 72 [h] od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naprawy, max. 7 dni od daty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serwisu, adres, nr telefonu i faksu, osoba kontaktowa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produkt posiadający deklarację zgodności - deklaracja zgodnośc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 </w:t>
            </w: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 języku polskim lub angielskim dostarczona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instrukcja obsługi do każdego egzemplarza oferowanego urządzenia w języku polskim oraz dodatkowa instrukcja obsługi (obowiązkowo wersja elektroniczna) dla Działu Inżynierii Klinicznej -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35"/>
        </w:trPr>
        <w:tc>
          <w:tcPr>
            <w:tcW w:w="255" w:type="pct"/>
            <w:tcBorders>
              <w:top w:val="single" w:sz="4" w:space="0" w:color="5B9BD5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6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wszelkie czynności i koszty związane z dostarczeniem, wniesieniem, montażem, uruchomieniem oferowanego w pakiecie przedmiotu zamówienia leżą po stronie Wykonawcy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</w:tbl>
    <w:p w:rsidR="005A7561" w:rsidRDefault="005A756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545"/>
        <w:gridCol w:w="1841"/>
        <w:gridCol w:w="1319"/>
        <w:gridCol w:w="1037"/>
      </w:tblGrid>
      <w:tr w:rsidR="009B5EBB" w:rsidRPr="009B5EBB" w:rsidTr="005A7561">
        <w:trPr>
          <w:trHeight w:val="499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PAKIET V - Lupy operacyjne okularowe - 1 sztuka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9" w:type="pct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CPV:  33162000-3  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1. Lupy okularowe I typu - 1 sztuka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double" w:sz="6" w:space="0" w:color="000000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double" w:sz="6" w:space="0" w:color="000000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nie demonstracyjny, nie powystawowy, rok produkcji - 2024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powiększenie w zakresie 3,5 raza – optymalizowane co 0.1 łącznie z szerokością pola widzenia (6.5 – 10 cm) i odległością do pola pracy – indywidualnie dla każdego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szkła korekcyjne – dobierane po uwzględnieniu wartości: sfera, cylinder, axis, pryzma (dotyczy szkieł nośnych oraz układu optycznego)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korekcja szkieł nośnych do dali, do bliży lub szkła bifokalne – w zależności od decyzji i wymaganej korekcji użytkownika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kąt nachylenia lupek, min. 20, 25, 30, 35, 40 stopni (indywidualne dla każdego użytkownika)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indywidualna odległość wklejenia lup względem źrenicy- vertex , indywidualnie maksymalizująca parametry optyczne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płynna głębia ostrości 13 cm (± 6 cm w zależności od powiększenia)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uwzględnienie indywidualnego poziomu wklejenia teleskopów względem oprawek zgodne z anatomią użytkownika - pomiar odległości miedzy źrenicą a szkłem korekcyjnym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lekkie, cienkie tytanowe lub aluminiowe oprawki z teleskopami zabezpieczającymi przed wyłamaniem zauszników przy nadmiernym rozwarciu, oraz oprawki z akumulatorami i wbudowaną lampą diodową – indywidualny dobór - grawer wg życzenia (bez danych osobowych)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konfiguracja teleskopów: wklejane w szkła nośne i  wymienne zamocowane na magnesach i dwa powiększenia w jednym teleskopie do wyboru przez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szkła nośne, poliwęglanowe oraz pocieniane celem zminimalizowania wagi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pojedynczy silikonowy nosek- rozłożenie ciężaru lup na całą powierzchnię nosa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plastikowe i magnezowe obudowy lup z układem soczewek Galileusza bądź pryzmatycznym w zależności od powiększenia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masa w zakresie 50-74 gram w zależności od powiększenia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lupy hipoalergiczne, antykorozyjne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różne kolory oprawek do wyboru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różne kształty oprawek: po 3 rozmiary do wyboru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etui ochronne do transportu – saszetka z zamkiem błyskawicznym i rączką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montażu odrębnego oświetlenia diodowego dopasowanego do oprawek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dowolnego grawerunku na etui (bez danych osobowych)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2. Lupy okularowe II typu - 1 sztuka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double" w:sz="6" w:space="0" w:color="000000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double" w:sz="6" w:space="0" w:color="000000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double" w:sz="6" w:space="0" w:color="000000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rok produkcji - 2024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powiększenie w zakresie 2,5 raza – optymalizowane co 0.1 łącznie z szerokością pola widzenia (6 – 13 cm) i odległością do pola pracy – indywidualnie dla każdego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szkła korekcyjne – dobierane po uwzględnieniu wartości: sfera, cylinder, axis, pryzma (dotyczy szkieł nośnych oraz układu optycznego)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korekcja szkieł nośnych do dali, do bliży lub szkła bifokalne – w zależności od decyzji i wymaganej korekcji użytkownika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kąt nachylenia lupek, min. 20, 25, 30 stopni (indywidualne dla każdego użytkownika)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płynna głębia ostrości 13 cm (± 1 cm w zależności od powiększenia), pole widzenia 13 [cm]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63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lekkie  oprawki z teleskopami zabezpieczającymi przed wyłamaniem zauszników przy nadmiernym rozwarciu, wykończenie ceramiczne chroniące przed zarysowaniem, nadające wysoką wytrzymałość, z wbudowanym bezprzewodowym systemem oświetlenia zawierające zintegrowane akumulatory w zausznikach oprawek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konfiguracja teleskopów: TTL (wklejane w szkła)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szkła nośne, poliwęglanowe oraz pocieniane celem zminimalizowania wagi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pojedynczy silikonowy nosek- rozłożenie ciężaru lup na całą powierzchnię nosa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plastikowe obudowy lup z układem soczewek Galileusza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 świecenia min. 49-78 Lumenów- 2 opcje do wyboru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różne kolory oprawek do wyboru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etui ochronne do transportu – saszetka z zamkiem błyskawicznym i rączką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żywotność akumulatora, min. 6 [godzin] świecenia, ładowanie do max. 2 [godzin]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min. 6 akumulatrów w zestawie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dowolnego grawerunku na etui (bez danych osobowych)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</w:tbl>
    <w:p w:rsidR="009B5EBB" w:rsidRDefault="009B5EBB"/>
    <w:sectPr w:rsidR="009B5E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C9" w:rsidRDefault="00E152C9" w:rsidP="00BC3432">
      <w:pPr>
        <w:spacing w:after="0" w:line="240" w:lineRule="auto"/>
      </w:pPr>
      <w:r>
        <w:separator/>
      </w:r>
    </w:p>
  </w:endnote>
  <w:endnote w:type="continuationSeparator" w:id="0">
    <w:p w:rsidR="00E152C9" w:rsidRDefault="00E152C9" w:rsidP="00BC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C9" w:rsidRDefault="00E152C9" w:rsidP="00BC3432">
      <w:pPr>
        <w:spacing w:after="0" w:line="240" w:lineRule="auto"/>
      </w:pPr>
      <w:r>
        <w:separator/>
      </w:r>
    </w:p>
  </w:footnote>
  <w:footnote w:type="continuationSeparator" w:id="0">
    <w:p w:rsidR="00E152C9" w:rsidRDefault="00E152C9" w:rsidP="00BC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17185"/>
      <w:docPartObj>
        <w:docPartGallery w:val="Page Numbers (Margins)"/>
        <w:docPartUnique/>
      </w:docPartObj>
    </w:sdtPr>
    <w:sdtEndPr/>
    <w:sdtContent>
      <w:p w:rsidR="00BC3432" w:rsidRDefault="00BC3432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BC3432" w:rsidRPr="00BC3432" w:rsidRDefault="00BC343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BC343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BC3432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BC343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55247B" w:rsidRPr="0055247B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BC3432"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:rsidR="00BC3432" w:rsidRPr="00BC3432" w:rsidRDefault="00BC34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BC343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C3432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BC343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5247B" w:rsidRPr="0055247B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  <w:r w:rsidRPr="00BC3432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D1"/>
    <w:rsid w:val="00217B9B"/>
    <w:rsid w:val="002B330B"/>
    <w:rsid w:val="003C1021"/>
    <w:rsid w:val="00522259"/>
    <w:rsid w:val="0055247B"/>
    <w:rsid w:val="005A7561"/>
    <w:rsid w:val="007343FF"/>
    <w:rsid w:val="007F55D1"/>
    <w:rsid w:val="008B44B9"/>
    <w:rsid w:val="009B5EBB"/>
    <w:rsid w:val="00BC3432"/>
    <w:rsid w:val="00E1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1A734-1E80-4B92-AEC6-2B3F820B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5EB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5EBB"/>
    <w:rPr>
      <w:color w:val="954F72"/>
      <w:u w:val="single"/>
    </w:rPr>
  </w:style>
  <w:style w:type="paragraph" w:customStyle="1" w:styleId="font5">
    <w:name w:val="font5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font7">
    <w:name w:val="font7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9B5EB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9B5EBB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9B5EB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9B5EB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9B5EBB"/>
    <w:pPr>
      <w:pBdr>
        <w:top w:val="double" w:sz="6" w:space="0" w:color="000000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9B5EBB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9B5EBB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9B5EBB"/>
    <w:pPr>
      <w:pBdr>
        <w:top w:val="single" w:sz="4" w:space="0" w:color="5B9BD5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09">
    <w:name w:val="xl109"/>
    <w:basedOn w:val="Normalny"/>
    <w:rsid w:val="009B5EB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9B5EBB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9B5EBB"/>
    <w:pPr>
      <w:pBdr>
        <w:top w:val="single" w:sz="4" w:space="0" w:color="5B9BD5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9B5EBB"/>
    <w:pPr>
      <w:pBdr>
        <w:top w:val="single" w:sz="4" w:space="0" w:color="5B9BD5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9B5EB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9B5EBB"/>
    <w:pPr>
      <w:pBdr>
        <w:top w:val="double" w:sz="6" w:space="0" w:color="000000"/>
        <w:left w:val="single" w:sz="8" w:space="0" w:color="auto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9B5EBB"/>
    <w:pPr>
      <w:pBdr>
        <w:top w:val="single" w:sz="4" w:space="0" w:color="5B9BD5"/>
        <w:left w:val="single" w:sz="8" w:space="0" w:color="auto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9B5EBB"/>
    <w:pPr>
      <w:pBdr>
        <w:top w:val="single" w:sz="4" w:space="0" w:color="5B9BD5"/>
        <w:left w:val="single" w:sz="8" w:space="0" w:color="auto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9B5EBB"/>
    <w:pPr>
      <w:pBdr>
        <w:top w:val="double" w:sz="6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9B5EBB"/>
    <w:pPr>
      <w:pBdr>
        <w:top w:val="double" w:sz="6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9B5EBB"/>
    <w:pPr>
      <w:pBdr>
        <w:top w:val="double" w:sz="6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9B5EBB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9B5EBB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38">
    <w:name w:val="xl138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39">
    <w:name w:val="xl139"/>
    <w:basedOn w:val="Normalny"/>
    <w:rsid w:val="009B5EBB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40">
    <w:name w:val="xl140"/>
    <w:basedOn w:val="Normalny"/>
    <w:rsid w:val="009B5EBB"/>
    <w:pPr>
      <w:pBdr>
        <w:top w:val="double" w:sz="6" w:space="0" w:color="000000"/>
        <w:left w:val="single" w:sz="8" w:space="0" w:color="auto"/>
        <w:bottom w:val="double" w:sz="6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9B5EBB"/>
    <w:pPr>
      <w:pBdr>
        <w:top w:val="double" w:sz="6" w:space="0" w:color="000000"/>
        <w:left w:val="single" w:sz="8" w:space="0" w:color="auto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B5EBB"/>
    <w:pPr>
      <w:pBdr>
        <w:top w:val="double" w:sz="6" w:space="0" w:color="000000"/>
        <w:bottom w:val="double" w:sz="6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432"/>
  </w:style>
  <w:style w:type="paragraph" w:styleId="Stopka">
    <w:name w:val="footer"/>
    <w:basedOn w:val="Normalny"/>
    <w:link w:val="StopkaZnak"/>
    <w:uiPriority w:val="99"/>
    <w:unhideWhenUsed/>
    <w:rsid w:val="00BC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432"/>
  </w:style>
  <w:style w:type="paragraph" w:styleId="Tekstdymka">
    <w:name w:val="Balloon Text"/>
    <w:basedOn w:val="Normalny"/>
    <w:link w:val="TekstdymkaZnak"/>
    <w:uiPriority w:val="99"/>
    <w:semiHidden/>
    <w:unhideWhenUsed/>
    <w:rsid w:val="0052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5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2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4995</Words>
  <Characters>29971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Ciepiela</dc:creator>
  <cp:keywords/>
  <dc:description/>
  <cp:lastModifiedBy>Karolina Karwala</cp:lastModifiedBy>
  <cp:revision>2</cp:revision>
  <dcterms:created xsi:type="dcterms:W3CDTF">2024-09-19T11:23:00Z</dcterms:created>
  <dcterms:modified xsi:type="dcterms:W3CDTF">2024-09-19T11:23:00Z</dcterms:modified>
</cp:coreProperties>
</file>