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1F155" w14:textId="1A07C353" w:rsidR="009E4F3D" w:rsidRPr="00F16CA0" w:rsidRDefault="005773F2" w:rsidP="00F16CA0">
      <w:pPr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F16CA0">
        <w:rPr>
          <w:rFonts w:cstheme="minorHAnsi"/>
          <w:b/>
          <w:sz w:val="18"/>
          <w:szCs w:val="18"/>
        </w:rPr>
        <w:t xml:space="preserve">Załącznik nr 1 do SWZ </w:t>
      </w:r>
    </w:p>
    <w:p w14:paraId="5DC99F51" w14:textId="28008257" w:rsidR="009E4F3D" w:rsidRDefault="009E4F3D" w:rsidP="00F16CA0">
      <w:pPr>
        <w:spacing w:after="0" w:line="240" w:lineRule="auto"/>
        <w:rPr>
          <w:rFonts w:cstheme="minorHAnsi"/>
          <w:b/>
          <w:sz w:val="18"/>
          <w:szCs w:val="18"/>
        </w:rPr>
      </w:pPr>
      <w:r w:rsidRPr="00F16CA0">
        <w:rPr>
          <w:rFonts w:cstheme="minorHAnsi"/>
          <w:b/>
          <w:sz w:val="18"/>
          <w:szCs w:val="18"/>
        </w:rPr>
        <w:t>Oznaczenie sprawy: PN-</w:t>
      </w:r>
      <w:r w:rsidR="00560BA4" w:rsidRPr="00F16CA0">
        <w:rPr>
          <w:rFonts w:cstheme="minorHAnsi"/>
          <w:b/>
          <w:sz w:val="18"/>
          <w:szCs w:val="18"/>
        </w:rPr>
        <w:t>62</w:t>
      </w:r>
      <w:r w:rsidRPr="00F16CA0">
        <w:rPr>
          <w:rFonts w:cstheme="minorHAnsi"/>
          <w:b/>
          <w:sz w:val="18"/>
          <w:szCs w:val="18"/>
        </w:rPr>
        <w:t>/2</w:t>
      </w:r>
      <w:r w:rsidR="000017CB" w:rsidRPr="00F16CA0">
        <w:rPr>
          <w:rFonts w:cstheme="minorHAnsi"/>
          <w:b/>
          <w:sz w:val="18"/>
          <w:szCs w:val="18"/>
        </w:rPr>
        <w:t>4</w:t>
      </w:r>
    </w:p>
    <w:p w14:paraId="369509AA" w14:textId="77777777" w:rsidR="00F16CA0" w:rsidRPr="00F16CA0" w:rsidRDefault="00F16CA0" w:rsidP="00F16CA0">
      <w:pPr>
        <w:spacing w:after="0" w:line="240" w:lineRule="auto"/>
        <w:rPr>
          <w:rFonts w:cstheme="minorHAnsi"/>
          <w:b/>
          <w:sz w:val="18"/>
          <w:szCs w:val="18"/>
        </w:rPr>
      </w:pPr>
    </w:p>
    <w:tbl>
      <w:tblPr>
        <w:tblStyle w:val="Tabela-Siatka"/>
        <w:tblW w:w="1091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7143"/>
        <w:gridCol w:w="1362"/>
        <w:gridCol w:w="1559"/>
      </w:tblGrid>
      <w:tr w:rsidR="00F16CA0" w:rsidRPr="00F16CA0" w14:paraId="172F7153" w14:textId="77777777" w:rsidTr="00F16CA0">
        <w:trPr>
          <w:trHeight w:val="469"/>
        </w:trPr>
        <w:tc>
          <w:tcPr>
            <w:tcW w:w="7994" w:type="dxa"/>
            <w:gridSpan w:val="2"/>
          </w:tcPr>
          <w:p w14:paraId="7DBF60E2" w14:textId="5090D30D" w:rsidR="00F16CA0" w:rsidRPr="00F16CA0" w:rsidRDefault="00F16CA0" w:rsidP="00F16CA0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F16CA0">
              <w:rPr>
                <w:sz w:val="18"/>
                <w:szCs w:val="18"/>
              </w:rPr>
              <w:t>Producent, typ (model)</w:t>
            </w:r>
          </w:p>
        </w:tc>
        <w:tc>
          <w:tcPr>
            <w:tcW w:w="2921" w:type="dxa"/>
            <w:gridSpan w:val="2"/>
          </w:tcPr>
          <w:p w14:paraId="31F4CB7E" w14:textId="76CA8F2B" w:rsidR="00F16CA0" w:rsidRPr="00F16CA0" w:rsidRDefault="00F16CA0" w:rsidP="00F16CA0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F16CA0">
              <w:rPr>
                <w:rFonts w:cstheme="minorHAnsi"/>
                <w:sz w:val="18"/>
                <w:szCs w:val="18"/>
              </w:rPr>
              <w:t>Podać</w:t>
            </w:r>
          </w:p>
        </w:tc>
      </w:tr>
      <w:tr w:rsidR="00F16CA0" w:rsidRPr="00F16CA0" w14:paraId="34556F86" w14:textId="77777777" w:rsidTr="00F16CA0">
        <w:trPr>
          <w:trHeight w:val="420"/>
        </w:trPr>
        <w:tc>
          <w:tcPr>
            <w:tcW w:w="7994" w:type="dxa"/>
            <w:gridSpan w:val="2"/>
          </w:tcPr>
          <w:p w14:paraId="121B3ABF" w14:textId="3CBA27D0" w:rsidR="00F16CA0" w:rsidRPr="00F16CA0" w:rsidRDefault="00F16CA0" w:rsidP="00F16CA0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F16CA0">
              <w:rPr>
                <w:sz w:val="18"/>
                <w:szCs w:val="18"/>
              </w:rPr>
              <w:t>Rok produkcji (nie wcześniej niż 2023) nowy, nieużywany, niedemonstracyjny</w:t>
            </w:r>
          </w:p>
        </w:tc>
        <w:tc>
          <w:tcPr>
            <w:tcW w:w="2921" w:type="dxa"/>
            <w:gridSpan w:val="2"/>
          </w:tcPr>
          <w:p w14:paraId="39A970B4" w14:textId="55048B62" w:rsidR="00F16CA0" w:rsidRPr="00F16CA0" w:rsidRDefault="00F16CA0" w:rsidP="00F16CA0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F16CA0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F16CA0" w:rsidRPr="00F16CA0" w14:paraId="34997E6D" w14:textId="77777777" w:rsidTr="00F16CA0">
        <w:trPr>
          <w:trHeight w:val="412"/>
        </w:trPr>
        <w:tc>
          <w:tcPr>
            <w:tcW w:w="7994" w:type="dxa"/>
            <w:gridSpan w:val="2"/>
          </w:tcPr>
          <w:p w14:paraId="4CA4421E" w14:textId="37058586" w:rsidR="00F16CA0" w:rsidRPr="00F16CA0" w:rsidRDefault="00F16CA0" w:rsidP="00F16CA0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F16CA0">
              <w:rPr>
                <w:sz w:val="18"/>
                <w:szCs w:val="18"/>
              </w:rPr>
              <w:t>Cena jednostkowa (jeśli poszczególne moduły nie obejmują całego zamówienia, opisać)</w:t>
            </w:r>
          </w:p>
        </w:tc>
        <w:tc>
          <w:tcPr>
            <w:tcW w:w="2921" w:type="dxa"/>
            <w:gridSpan w:val="2"/>
          </w:tcPr>
          <w:p w14:paraId="54895BF4" w14:textId="2A640751" w:rsidR="00F16CA0" w:rsidRPr="00F16CA0" w:rsidRDefault="00F16CA0" w:rsidP="00F16CA0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F16CA0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F16CA0" w:rsidRPr="00F16CA0" w14:paraId="02226077" w14:textId="77777777" w:rsidTr="00F16CA0">
        <w:trPr>
          <w:trHeight w:val="418"/>
        </w:trPr>
        <w:tc>
          <w:tcPr>
            <w:tcW w:w="7994" w:type="dxa"/>
            <w:gridSpan w:val="2"/>
          </w:tcPr>
          <w:p w14:paraId="7F93ECD1" w14:textId="5AB82593" w:rsidR="00F16CA0" w:rsidRPr="00F16CA0" w:rsidRDefault="00F16CA0" w:rsidP="00F16CA0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F16CA0">
              <w:rPr>
                <w:sz w:val="18"/>
                <w:szCs w:val="18"/>
              </w:rPr>
              <w:t>Gwarancja minimum 24 miesiące</w:t>
            </w:r>
          </w:p>
        </w:tc>
        <w:tc>
          <w:tcPr>
            <w:tcW w:w="2921" w:type="dxa"/>
            <w:gridSpan w:val="2"/>
          </w:tcPr>
          <w:p w14:paraId="68F10A3B" w14:textId="5A798AA9" w:rsidR="00F16CA0" w:rsidRPr="00F16CA0" w:rsidRDefault="00F16CA0" w:rsidP="00F16CA0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F16CA0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F16CA0" w:rsidRPr="00F16CA0" w14:paraId="6110C6A8" w14:textId="77777777" w:rsidTr="00F16CA0">
        <w:trPr>
          <w:trHeight w:val="410"/>
        </w:trPr>
        <w:tc>
          <w:tcPr>
            <w:tcW w:w="7994" w:type="dxa"/>
            <w:gridSpan w:val="2"/>
          </w:tcPr>
          <w:p w14:paraId="7BDB5F56" w14:textId="6DD71D24" w:rsidR="00F16CA0" w:rsidRPr="00F16CA0" w:rsidRDefault="00F16CA0" w:rsidP="00F16CA0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F16CA0">
              <w:rPr>
                <w:sz w:val="18"/>
                <w:szCs w:val="18"/>
              </w:rPr>
              <w:t>Zakres przetwarzania danych osobowych przez urządzenia</w:t>
            </w:r>
          </w:p>
        </w:tc>
        <w:tc>
          <w:tcPr>
            <w:tcW w:w="2921" w:type="dxa"/>
            <w:gridSpan w:val="2"/>
          </w:tcPr>
          <w:p w14:paraId="29E56998" w14:textId="02971994" w:rsidR="00F16CA0" w:rsidRPr="00F16CA0" w:rsidRDefault="00F16CA0" w:rsidP="00F16CA0">
            <w:pPr>
              <w:rPr>
                <w:rFonts w:cstheme="minorHAnsi"/>
                <w:sz w:val="18"/>
                <w:szCs w:val="18"/>
              </w:rPr>
            </w:pPr>
            <w:r w:rsidRPr="00F16CA0">
              <w:rPr>
                <w:rFonts w:cstheme="minorHAnsi"/>
                <w:sz w:val="18"/>
                <w:szCs w:val="18"/>
              </w:rPr>
              <w:t>Opisać</w:t>
            </w:r>
          </w:p>
        </w:tc>
      </w:tr>
      <w:tr w:rsidR="008664B7" w:rsidRPr="00F16CA0" w14:paraId="0FD22A3E" w14:textId="77777777" w:rsidTr="008664B7">
        <w:trPr>
          <w:trHeight w:val="625"/>
        </w:trPr>
        <w:tc>
          <w:tcPr>
            <w:tcW w:w="851" w:type="dxa"/>
            <w:vAlign w:val="center"/>
          </w:tcPr>
          <w:p w14:paraId="051CC4E6" w14:textId="77777777" w:rsidR="008664B7" w:rsidRPr="00F16CA0" w:rsidRDefault="008664B7" w:rsidP="00F16CA0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F16CA0">
              <w:rPr>
                <w:rFonts w:eastAsia="Calibr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7143" w:type="dxa"/>
          </w:tcPr>
          <w:p w14:paraId="3BBA6C25" w14:textId="77777777" w:rsidR="008664B7" w:rsidRPr="00F16CA0" w:rsidRDefault="008664B7" w:rsidP="00F16CA0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F16CA0">
              <w:rPr>
                <w:rFonts w:eastAsia="Calibri" w:cstheme="minorHAnsi"/>
                <w:b/>
                <w:sz w:val="18"/>
                <w:szCs w:val="18"/>
              </w:rPr>
              <w:t>Opis wymagania</w:t>
            </w:r>
          </w:p>
        </w:tc>
        <w:tc>
          <w:tcPr>
            <w:tcW w:w="1362" w:type="dxa"/>
          </w:tcPr>
          <w:p w14:paraId="79D390F1" w14:textId="77777777" w:rsidR="008664B7" w:rsidRPr="00F16CA0" w:rsidRDefault="008664B7" w:rsidP="00F16CA0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F16CA0">
              <w:rPr>
                <w:rFonts w:eastAsia="Calibri" w:cstheme="minorHAnsi"/>
                <w:b/>
                <w:sz w:val="18"/>
                <w:szCs w:val="18"/>
              </w:rPr>
              <w:t>Wartość wymagana</w:t>
            </w:r>
          </w:p>
        </w:tc>
        <w:tc>
          <w:tcPr>
            <w:tcW w:w="1559" w:type="dxa"/>
          </w:tcPr>
          <w:p w14:paraId="446C7505" w14:textId="77777777" w:rsidR="008664B7" w:rsidRPr="00F16CA0" w:rsidRDefault="008664B7" w:rsidP="00F16CA0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F16CA0">
              <w:rPr>
                <w:rFonts w:eastAsia="Calibri" w:cstheme="minorHAnsi"/>
                <w:b/>
                <w:sz w:val="18"/>
                <w:szCs w:val="18"/>
              </w:rPr>
              <w:t>Wartość deklarowana</w:t>
            </w:r>
          </w:p>
        </w:tc>
      </w:tr>
      <w:tr w:rsidR="008664B7" w:rsidRPr="00F16CA0" w14:paraId="24078C0A" w14:textId="77777777" w:rsidTr="008664B7">
        <w:trPr>
          <w:trHeight w:val="625"/>
        </w:trPr>
        <w:tc>
          <w:tcPr>
            <w:tcW w:w="10915" w:type="dxa"/>
            <w:gridSpan w:val="4"/>
            <w:vAlign w:val="center"/>
          </w:tcPr>
          <w:p w14:paraId="0CAB55CF" w14:textId="69F9BF3D" w:rsidR="008664B7" w:rsidRPr="00F16CA0" w:rsidRDefault="00560BA4" w:rsidP="00F16CA0">
            <w:pPr>
              <w:widowControl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F16CA0">
              <w:rPr>
                <w:rFonts w:cstheme="minorHAnsi"/>
                <w:b/>
                <w:bCs/>
                <w:sz w:val="18"/>
                <w:szCs w:val="18"/>
              </w:rPr>
              <w:t>Zestaw minihistero-resektoskopowy &lt;16,5 Fr, 10 zestawów</w:t>
            </w:r>
          </w:p>
        </w:tc>
      </w:tr>
      <w:tr w:rsidR="00560BA4" w:rsidRPr="00F16CA0" w14:paraId="3522B532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50942B0E" w14:textId="77777777" w:rsidR="00560BA4" w:rsidRPr="00F16CA0" w:rsidRDefault="00560BA4" w:rsidP="00F16CA0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ind w:right="-108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F44A69B" w14:textId="11C79BFE" w:rsidR="00560BA4" w:rsidRPr="00F16CA0" w:rsidRDefault="00560BA4" w:rsidP="00F16CA0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>Instrukcja papierowa i elektroniczna w języku polskim.</w:t>
            </w:r>
          </w:p>
        </w:tc>
        <w:tc>
          <w:tcPr>
            <w:tcW w:w="1362" w:type="dxa"/>
            <w:vAlign w:val="center"/>
          </w:tcPr>
          <w:p w14:paraId="67B85F13" w14:textId="779A3CFC" w:rsidR="00560BA4" w:rsidRPr="00F16CA0" w:rsidRDefault="00560BA4" w:rsidP="00F16CA0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72442C8" w14:textId="77777777" w:rsidR="00560BA4" w:rsidRPr="00F16CA0" w:rsidRDefault="00560BA4" w:rsidP="00F16CA0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560BA4" w:rsidRPr="00F16CA0" w14:paraId="65D742AC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0F8DFE08" w14:textId="77777777" w:rsidR="00560BA4" w:rsidRPr="00F16CA0" w:rsidRDefault="00560BA4" w:rsidP="00F16CA0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5573B97" w14:textId="31B80E8E" w:rsidR="00560BA4" w:rsidRPr="00F16CA0" w:rsidRDefault="00560BA4" w:rsidP="00F16CA0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>Szkolenie personelu z zakresu użytkowania.</w:t>
            </w:r>
          </w:p>
        </w:tc>
        <w:tc>
          <w:tcPr>
            <w:tcW w:w="1362" w:type="dxa"/>
            <w:vAlign w:val="center"/>
          </w:tcPr>
          <w:p w14:paraId="0E960306" w14:textId="732278D1" w:rsidR="00560BA4" w:rsidRPr="00F16CA0" w:rsidRDefault="00560BA4" w:rsidP="00F16CA0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BFEB7A0" w14:textId="77777777" w:rsidR="00560BA4" w:rsidRPr="00F16CA0" w:rsidRDefault="00560BA4" w:rsidP="00F16CA0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560BA4" w:rsidRPr="00F16CA0" w14:paraId="450C9704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0E25C09D" w14:textId="77777777" w:rsidR="00560BA4" w:rsidRPr="00F16CA0" w:rsidRDefault="00560BA4" w:rsidP="00F16CA0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95B11BD" w14:textId="7D1328A9" w:rsidR="00560BA4" w:rsidRPr="00F16CA0" w:rsidRDefault="00560BA4" w:rsidP="00F16CA0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>Szkolenie personelu z zakresu utrzymania technicznego (prawidłowa eksploatacja, czyszczenie, czynności serwisowe niewymagające specjalistycznych urządzeń pomiarowych i oprogramowania).</w:t>
            </w:r>
          </w:p>
        </w:tc>
        <w:tc>
          <w:tcPr>
            <w:tcW w:w="1362" w:type="dxa"/>
            <w:vAlign w:val="center"/>
          </w:tcPr>
          <w:p w14:paraId="15C45D2C" w14:textId="0C81F213" w:rsidR="00560BA4" w:rsidRPr="00F16CA0" w:rsidRDefault="00560BA4" w:rsidP="00F16CA0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9372ED6" w14:textId="77777777" w:rsidR="00560BA4" w:rsidRPr="00F16CA0" w:rsidRDefault="00560BA4" w:rsidP="00F16CA0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560BA4" w:rsidRPr="00F16CA0" w14:paraId="58AA1E23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0F0A550A" w14:textId="77777777" w:rsidR="00560BA4" w:rsidRPr="00F16CA0" w:rsidRDefault="00560BA4" w:rsidP="00F16CA0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A6D1948" w14:textId="630BDBBF" w:rsidR="00560BA4" w:rsidRPr="00F16CA0" w:rsidRDefault="00560BA4" w:rsidP="00F16CA0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16CA0">
              <w:rPr>
                <w:rFonts w:cstheme="minorHAnsi"/>
                <w:sz w:val="18"/>
                <w:szCs w:val="18"/>
              </w:rPr>
              <w:t>Zapewnienie pełnego wsparcia technicznego na czas gwarancji, w tym przeglądy jeśli są wymagane.</w:t>
            </w:r>
          </w:p>
        </w:tc>
        <w:tc>
          <w:tcPr>
            <w:tcW w:w="1362" w:type="dxa"/>
            <w:vAlign w:val="center"/>
          </w:tcPr>
          <w:p w14:paraId="666F9EEB" w14:textId="70307806" w:rsidR="00560BA4" w:rsidRPr="00F16CA0" w:rsidRDefault="00560BA4" w:rsidP="00F16CA0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>Tak, jaka częstotliwość przeglądów</w:t>
            </w:r>
          </w:p>
        </w:tc>
        <w:tc>
          <w:tcPr>
            <w:tcW w:w="1559" w:type="dxa"/>
          </w:tcPr>
          <w:p w14:paraId="63308D50" w14:textId="77777777" w:rsidR="00560BA4" w:rsidRPr="00F16CA0" w:rsidRDefault="00560BA4" w:rsidP="00F16CA0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560BA4" w:rsidRPr="00F16CA0" w14:paraId="31C3E327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11530A05" w14:textId="77777777" w:rsidR="00560BA4" w:rsidRPr="00F16CA0" w:rsidRDefault="00560BA4" w:rsidP="00F16CA0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9B42B79" w14:textId="58FA0E12" w:rsidR="00560BA4" w:rsidRPr="00F16CA0" w:rsidRDefault="00560BA4" w:rsidP="00F16CA0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F16CA0">
              <w:rPr>
                <w:rFonts w:cstheme="minorHAnsi"/>
                <w:sz w:val="18"/>
                <w:szCs w:val="18"/>
              </w:rPr>
              <w:t>Jeśli wymagane przeglądy, wskazanie pełnego wykazu czynności serwisowych przewidzianych dla okresu 10 lat wraz ze wskazaniem wymiany części eksploatacyjnych.</w:t>
            </w:r>
          </w:p>
        </w:tc>
        <w:tc>
          <w:tcPr>
            <w:tcW w:w="1362" w:type="dxa"/>
            <w:vAlign w:val="center"/>
          </w:tcPr>
          <w:p w14:paraId="73511365" w14:textId="0E797611" w:rsidR="00560BA4" w:rsidRPr="00F16CA0" w:rsidRDefault="00560BA4" w:rsidP="00F16CA0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861FA16" w14:textId="77777777" w:rsidR="00560BA4" w:rsidRPr="00F16CA0" w:rsidRDefault="00560BA4" w:rsidP="00F16CA0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560BA4" w:rsidRPr="00F16CA0" w14:paraId="534EAF04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42EE1BBF" w14:textId="77777777" w:rsidR="00560BA4" w:rsidRPr="00F16CA0" w:rsidRDefault="00560BA4" w:rsidP="00F16CA0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3AB3A4A" w14:textId="0BFAA0A9" w:rsidR="00560BA4" w:rsidRPr="00F16CA0" w:rsidRDefault="00560BA4" w:rsidP="00F16CA0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>Certyfikat CE i noty zgodności pozwalające na pracę w UE.</w:t>
            </w:r>
          </w:p>
        </w:tc>
        <w:tc>
          <w:tcPr>
            <w:tcW w:w="1362" w:type="dxa"/>
            <w:vAlign w:val="center"/>
          </w:tcPr>
          <w:p w14:paraId="1AE802CD" w14:textId="64B335A0" w:rsidR="00560BA4" w:rsidRPr="00F16CA0" w:rsidRDefault="00560BA4" w:rsidP="00F16CA0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1C024C0" w14:textId="77777777" w:rsidR="00560BA4" w:rsidRPr="00F16CA0" w:rsidRDefault="00560BA4" w:rsidP="00F16CA0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560BA4" w:rsidRPr="00F16CA0" w14:paraId="705F4181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0C9D216B" w14:textId="77777777" w:rsidR="00560BA4" w:rsidRPr="00F16CA0" w:rsidRDefault="00560BA4" w:rsidP="00F16CA0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317CE1B" w14:textId="28F217E3" w:rsidR="00560BA4" w:rsidRPr="00F16CA0" w:rsidRDefault="00560BA4" w:rsidP="00F16CA0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>Wykaz wszystkich części zamiennych, akcesoriów jedno- i wielorazowych koniecznych do wymiany okresowej przewidzianych przez producenta i określonych jako eksploatacyjne wraz ze wskazaniem okresu używalności poszczególnych elementów. Dokument w osobnym pliku ze wskazaniem numerów REF.</w:t>
            </w:r>
          </w:p>
        </w:tc>
        <w:tc>
          <w:tcPr>
            <w:tcW w:w="1362" w:type="dxa"/>
            <w:vAlign w:val="center"/>
          </w:tcPr>
          <w:p w14:paraId="434A992E" w14:textId="4A1D37F5" w:rsidR="00560BA4" w:rsidRPr="00F16CA0" w:rsidRDefault="00560BA4" w:rsidP="00F16CA0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FE35C79" w14:textId="77777777" w:rsidR="00560BA4" w:rsidRPr="00F16CA0" w:rsidRDefault="00560BA4" w:rsidP="00F16CA0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560BA4" w:rsidRPr="00F16CA0" w14:paraId="4DBD9FE0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1160F0DF" w14:textId="77777777" w:rsidR="00560BA4" w:rsidRPr="00F16CA0" w:rsidRDefault="00560BA4" w:rsidP="00F16CA0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F0549FE" w14:textId="6A8B248C" w:rsidR="00560BA4" w:rsidRPr="00F16CA0" w:rsidRDefault="00560BA4" w:rsidP="00F16CA0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>Optyka endoskopowa w systemie Full HD, dedykowana do systemów Full HD.</w:t>
            </w:r>
            <w:r w:rsidRPr="00F16CA0">
              <w:rPr>
                <w:rFonts w:cstheme="minorHAnsi"/>
                <w:color w:val="000000"/>
                <w:sz w:val="18"/>
                <w:szCs w:val="18"/>
              </w:rPr>
              <w:br/>
              <w:t>Jakość obrazu optyki identyczna w środku jak i na brzegach optyki.</w:t>
            </w:r>
            <w:r w:rsidRPr="00F16CA0">
              <w:rPr>
                <w:rFonts w:cstheme="minorHAnsi"/>
                <w:color w:val="000000"/>
                <w:sz w:val="18"/>
                <w:szCs w:val="18"/>
              </w:rPr>
              <w:br/>
              <w:t>Pole widzenia min. 80 stopni, śr. &lt;3 mm, kąt patrzenia 0 stopni, dł. 300-310 mm.</w:t>
            </w:r>
          </w:p>
        </w:tc>
        <w:tc>
          <w:tcPr>
            <w:tcW w:w="1362" w:type="dxa"/>
            <w:vAlign w:val="center"/>
          </w:tcPr>
          <w:p w14:paraId="18F46AD8" w14:textId="5DF87D01" w:rsidR="00560BA4" w:rsidRPr="00F16CA0" w:rsidRDefault="00560BA4" w:rsidP="00F16CA0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3B3A493" w14:textId="77777777" w:rsidR="00560BA4" w:rsidRPr="00F16CA0" w:rsidRDefault="00560BA4" w:rsidP="00F16CA0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560BA4" w:rsidRPr="00F16CA0" w14:paraId="2DD690F3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7EAB339B" w14:textId="77777777" w:rsidR="00560BA4" w:rsidRPr="00F16CA0" w:rsidRDefault="00560BA4" w:rsidP="00F16CA0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8E7BC58" w14:textId="7705FAD4" w:rsidR="00560BA4" w:rsidRPr="00F16CA0" w:rsidRDefault="00560BA4" w:rsidP="00F16CA0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>Element roboczy zestawu umożliwiający przeprowadzenie resektoskopii, pasywny.</w:t>
            </w:r>
            <w:r w:rsidRPr="00F16CA0">
              <w:rPr>
                <w:rFonts w:cstheme="minorHAnsi"/>
                <w:color w:val="000000"/>
                <w:sz w:val="18"/>
                <w:szCs w:val="18"/>
              </w:rPr>
              <w:br/>
              <w:t xml:space="preserve">Element przeznaczony do zestawu &lt;15 FR i  </w:t>
            </w:r>
            <w:r w:rsidRPr="00F16CA0">
              <w:rPr>
                <w:rFonts w:cstheme="minorHAnsi"/>
                <w:color w:val="000000" w:themeColor="text1"/>
                <w:sz w:val="18"/>
                <w:szCs w:val="18"/>
              </w:rPr>
              <w:t xml:space="preserve">&lt;16,5 </w:t>
            </w:r>
            <w:r w:rsidRPr="00F16CA0">
              <w:rPr>
                <w:rFonts w:cstheme="minorHAnsi"/>
                <w:color w:val="000000"/>
                <w:sz w:val="18"/>
                <w:szCs w:val="18"/>
              </w:rPr>
              <w:t>FR oraz do pracy mono i bipolarnej.</w:t>
            </w:r>
            <w:r w:rsidRPr="00F16CA0">
              <w:rPr>
                <w:rFonts w:cstheme="minorHAnsi"/>
                <w:color w:val="000000"/>
                <w:sz w:val="18"/>
                <w:szCs w:val="18"/>
              </w:rPr>
              <w:br/>
              <w:t xml:space="preserve">Element roboczy bezpieczny dla użytkownika - wyposażony w zabezpieczenie w postaci części izolacyjnej, oraz </w:t>
            </w:r>
            <w:r w:rsidRPr="00F16CA0">
              <w:rPr>
                <w:rFonts w:cstheme="minorHAnsi"/>
                <w:color w:val="000000" w:themeColor="text1"/>
                <w:sz w:val="18"/>
                <w:szCs w:val="18"/>
              </w:rPr>
              <w:t>dystanser chroniący części zestawu i zabezpieczający pacjenta przed przypadkowym poparzeniem energią elektryczną</w:t>
            </w:r>
            <w:r w:rsidRPr="00F16CA0">
              <w:rPr>
                <w:rFonts w:cstheme="minorHAnsi"/>
                <w:color w:val="000000"/>
                <w:sz w:val="18"/>
                <w:szCs w:val="18"/>
              </w:rPr>
              <w:t>. Uchwyt elementu roboczego wykonany z tytanu.</w:t>
            </w:r>
          </w:p>
        </w:tc>
        <w:tc>
          <w:tcPr>
            <w:tcW w:w="1362" w:type="dxa"/>
            <w:vAlign w:val="center"/>
          </w:tcPr>
          <w:p w14:paraId="3D313956" w14:textId="20E088C0" w:rsidR="00560BA4" w:rsidRPr="00F16CA0" w:rsidRDefault="00560BA4" w:rsidP="00F16CA0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4716904" w14:textId="77777777" w:rsidR="00560BA4" w:rsidRPr="00F16CA0" w:rsidRDefault="00560BA4" w:rsidP="00F16CA0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560BA4" w:rsidRPr="00F16CA0" w14:paraId="3BB2699C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1B839398" w14:textId="77777777" w:rsidR="00560BA4" w:rsidRPr="00F16CA0" w:rsidRDefault="00560BA4" w:rsidP="00F16CA0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1C1F57A" w14:textId="3B748D67" w:rsidR="00560BA4" w:rsidRPr="00F16CA0" w:rsidRDefault="00560BA4" w:rsidP="00F16CA0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 xml:space="preserve">Okrągły płaszcz zewnętrzny zestawu </w:t>
            </w:r>
            <w:r w:rsidRPr="00F16CA0">
              <w:rPr>
                <w:rFonts w:cstheme="minorHAnsi"/>
                <w:color w:val="000000" w:themeColor="text1"/>
                <w:sz w:val="18"/>
                <w:szCs w:val="18"/>
              </w:rPr>
              <w:t>&lt;16,5 FR</w:t>
            </w:r>
            <w:r w:rsidRPr="00F16CA0">
              <w:rPr>
                <w:rFonts w:cstheme="minorHAnsi"/>
                <w:color w:val="C00000"/>
                <w:sz w:val="18"/>
                <w:szCs w:val="18"/>
              </w:rPr>
              <w:t xml:space="preserve">, </w:t>
            </w:r>
            <w:r w:rsidRPr="00F16CA0">
              <w:rPr>
                <w:rFonts w:cstheme="minorHAnsi"/>
                <w:color w:val="000000"/>
                <w:sz w:val="18"/>
                <w:szCs w:val="18"/>
              </w:rPr>
              <w:t xml:space="preserve">długość robocza </w:t>
            </w:r>
            <w:r w:rsidRPr="00F16CA0">
              <w:rPr>
                <w:rFonts w:cstheme="minorHAnsi"/>
                <w:color w:val="000000" w:themeColor="text1"/>
                <w:sz w:val="18"/>
                <w:szCs w:val="18"/>
              </w:rPr>
              <w:t>&lt;195</w:t>
            </w:r>
            <w:r w:rsidRPr="00F16CA0">
              <w:rPr>
                <w:rFonts w:cstheme="minorHAnsi"/>
                <w:color w:val="000000"/>
                <w:sz w:val="18"/>
                <w:szCs w:val="18"/>
              </w:rPr>
              <w:t xml:space="preserve"> mm, dedykowany do systemu, który po odpowiednim przezbrojeniu (dobór właściwego płaszcza wewnętrznego) umożliwi wykonania zarówno resektoskopii jak i histeroskopii.</w:t>
            </w:r>
            <w:r w:rsidRPr="00F16CA0">
              <w:rPr>
                <w:rFonts w:cstheme="minorHAnsi"/>
                <w:color w:val="000000"/>
                <w:sz w:val="18"/>
                <w:szCs w:val="18"/>
              </w:rPr>
              <w:br/>
              <w:t>Płaszcz przeznaczony do współpracy z optykami endoskopowymi o kątach: 0 stopni, 12 stopni oraz 30 stopni, średnicy &lt;3 mm i długości optyki 300-310 mm.</w:t>
            </w:r>
            <w:r w:rsidRPr="00F16CA0">
              <w:rPr>
                <w:rFonts w:cstheme="minorHAnsi"/>
                <w:color w:val="000000"/>
                <w:sz w:val="18"/>
                <w:szCs w:val="18"/>
              </w:rPr>
              <w:br/>
              <w:t>Wyposażony w dwa metalowe kraniki, sterujące przepływem medium.</w:t>
            </w:r>
            <w:r w:rsidRPr="00F16CA0">
              <w:rPr>
                <w:rFonts w:cstheme="minorHAnsi"/>
                <w:color w:val="000000"/>
                <w:sz w:val="18"/>
                <w:szCs w:val="18"/>
              </w:rPr>
              <w:br/>
              <w:t>Płaszcz perforowany. Mocowanie w systemie zatrzaskowym.</w:t>
            </w:r>
          </w:p>
        </w:tc>
        <w:tc>
          <w:tcPr>
            <w:tcW w:w="1362" w:type="dxa"/>
            <w:vAlign w:val="center"/>
          </w:tcPr>
          <w:p w14:paraId="28F31932" w14:textId="60EAEB1D" w:rsidR="00560BA4" w:rsidRPr="00F16CA0" w:rsidRDefault="00560BA4" w:rsidP="00F16CA0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11A5EC5" w14:textId="77777777" w:rsidR="00560BA4" w:rsidRPr="00F16CA0" w:rsidRDefault="00560BA4" w:rsidP="00F16CA0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560BA4" w:rsidRPr="00F16CA0" w14:paraId="6416DFFF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468A486F" w14:textId="77777777" w:rsidR="00560BA4" w:rsidRPr="00F16CA0" w:rsidRDefault="00560BA4" w:rsidP="00F16CA0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2099E18" w14:textId="016181F6" w:rsidR="00560BA4" w:rsidRPr="00F16CA0" w:rsidRDefault="00560BA4" w:rsidP="00F16CA0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 xml:space="preserve">Okrągły płaszcz wewnętrzny, kompatybilny z płaszczem zewnętrznym zestawu. Płaszcz dedykowany do zestawu &lt;16,5 FR, dedykowany do resektoskopii. Płaszcz z oznakowaniem kolorystycznym ułatwiającym składanie zestawu </w:t>
            </w:r>
            <w:r w:rsidRPr="00F16CA0">
              <w:rPr>
                <w:rFonts w:cstheme="minorHAnsi"/>
                <w:color w:val="000000" w:themeColor="text1"/>
                <w:sz w:val="18"/>
                <w:szCs w:val="18"/>
              </w:rPr>
              <w:t>w jednakowym kolorze co płaszcz zewnętrzny. Obrotowy. Mocowanie w systemie zatrzaskowym. Końcówka z ceramiczną izolacją</w:t>
            </w:r>
          </w:p>
        </w:tc>
        <w:tc>
          <w:tcPr>
            <w:tcW w:w="1362" w:type="dxa"/>
            <w:vAlign w:val="center"/>
          </w:tcPr>
          <w:p w14:paraId="0602DB69" w14:textId="2F4AAEAC" w:rsidR="00560BA4" w:rsidRPr="00F16CA0" w:rsidRDefault="00560BA4" w:rsidP="00F16CA0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6A7F2B5" w14:textId="77777777" w:rsidR="00560BA4" w:rsidRPr="00F16CA0" w:rsidRDefault="00560BA4" w:rsidP="00F16CA0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560BA4" w:rsidRPr="00F16CA0" w14:paraId="0BD3BD38" w14:textId="77777777" w:rsidTr="00040907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5C9C1619" w14:textId="77777777" w:rsidR="00560BA4" w:rsidRPr="00F16CA0" w:rsidRDefault="00560BA4" w:rsidP="00F16CA0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B089C77" w14:textId="14C3702B" w:rsidR="00560BA4" w:rsidRPr="00F16CA0" w:rsidRDefault="00560BA4" w:rsidP="00F16CA0">
            <w:pPr>
              <w:widowControl w:val="0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 xml:space="preserve">Okrągły płaszcz wewnętrzny, kompatybilny z płaszczem zewnętrznym zestawu. Płaszcz dedykowany do zestawu &lt;16,5 FR, dedykowany do histeroskopii. Płaszcz z kanałem roboczym 5 FR. Płaszcz z oznakowaniem kolorystycznym ułatwiającym składanie </w:t>
            </w:r>
            <w:r w:rsidRPr="00F16CA0">
              <w:rPr>
                <w:rFonts w:cstheme="minorHAnsi"/>
                <w:color w:val="000000" w:themeColor="text1"/>
                <w:sz w:val="18"/>
                <w:szCs w:val="18"/>
              </w:rPr>
              <w:t>zestawu, w jednakowym kolorze co płaszcz zewnętrzny</w:t>
            </w:r>
            <w:r w:rsidRPr="00F16CA0">
              <w:rPr>
                <w:rFonts w:cstheme="minorHAnsi"/>
                <w:color w:val="000000"/>
                <w:sz w:val="18"/>
                <w:szCs w:val="18"/>
              </w:rPr>
              <w:t>. Mocowanie w systemie zatrzaskowym.</w:t>
            </w:r>
          </w:p>
        </w:tc>
        <w:tc>
          <w:tcPr>
            <w:tcW w:w="1362" w:type="dxa"/>
            <w:vAlign w:val="center"/>
          </w:tcPr>
          <w:p w14:paraId="446763D6" w14:textId="5F1BCEFB" w:rsidR="00560BA4" w:rsidRPr="00F16CA0" w:rsidRDefault="00560BA4" w:rsidP="00F16CA0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4D6DE414" w14:textId="77777777" w:rsidR="00560BA4" w:rsidRPr="00F16CA0" w:rsidRDefault="00560BA4" w:rsidP="00F16CA0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560BA4" w:rsidRPr="00F16CA0" w14:paraId="14AF3BE3" w14:textId="77777777" w:rsidTr="00040907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550EBAAD" w14:textId="77777777" w:rsidR="00560BA4" w:rsidRPr="00F16CA0" w:rsidRDefault="00560BA4" w:rsidP="00F16CA0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11C5491" w14:textId="28B2E522" w:rsidR="00560BA4" w:rsidRPr="00F16CA0" w:rsidRDefault="00560BA4" w:rsidP="00F16CA0">
            <w:pPr>
              <w:widowControl w:val="0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 xml:space="preserve">Duża elektroda pętlowa do zestawu </w:t>
            </w:r>
            <w:r w:rsidRPr="00F16CA0">
              <w:rPr>
                <w:rFonts w:cstheme="minorHAnsi"/>
                <w:color w:val="000000" w:themeColor="text1"/>
                <w:sz w:val="18"/>
                <w:szCs w:val="18"/>
              </w:rPr>
              <w:t>&lt;16,5 FR</w:t>
            </w:r>
            <w:r w:rsidRPr="00F16CA0">
              <w:rPr>
                <w:rFonts w:cstheme="minorHAnsi"/>
                <w:color w:val="000000"/>
                <w:sz w:val="18"/>
                <w:szCs w:val="18"/>
              </w:rPr>
              <w:t>, zagięta pod kątem 90 stopni, bipolarna, jednorazowa</w:t>
            </w:r>
          </w:p>
        </w:tc>
        <w:tc>
          <w:tcPr>
            <w:tcW w:w="1362" w:type="dxa"/>
            <w:vAlign w:val="center"/>
          </w:tcPr>
          <w:p w14:paraId="26E510B9" w14:textId="48E04C7F" w:rsidR="00560BA4" w:rsidRPr="00F16CA0" w:rsidRDefault="00560BA4" w:rsidP="00F16CA0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3CBF5F13" w14:textId="77777777" w:rsidR="00560BA4" w:rsidRPr="00F16CA0" w:rsidRDefault="00560BA4" w:rsidP="00F16CA0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560BA4" w:rsidRPr="00F16CA0" w14:paraId="24EDAC3C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21994118" w14:textId="77777777" w:rsidR="00560BA4" w:rsidRPr="00F16CA0" w:rsidRDefault="00560BA4" w:rsidP="00F16CA0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F62F017" w14:textId="720D2194" w:rsidR="00560BA4" w:rsidRPr="00F16CA0" w:rsidRDefault="00560BA4" w:rsidP="00F16CA0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 xml:space="preserve">Elektroda nożowa do zestawu </w:t>
            </w:r>
            <w:r w:rsidRPr="00F16CA0">
              <w:rPr>
                <w:rFonts w:cstheme="minorHAnsi"/>
                <w:color w:val="000000" w:themeColor="text1"/>
                <w:sz w:val="18"/>
                <w:szCs w:val="18"/>
              </w:rPr>
              <w:t>&lt;16,5 FR</w:t>
            </w:r>
            <w:r w:rsidRPr="00F16CA0">
              <w:rPr>
                <w:rFonts w:cstheme="minorHAnsi"/>
                <w:color w:val="000000"/>
                <w:sz w:val="18"/>
                <w:szCs w:val="18"/>
              </w:rPr>
              <w:t>, zagięta pod kątem 90 stopni, bipolarna, jednorazowa.</w:t>
            </w:r>
          </w:p>
        </w:tc>
        <w:tc>
          <w:tcPr>
            <w:tcW w:w="1362" w:type="dxa"/>
            <w:vAlign w:val="center"/>
          </w:tcPr>
          <w:p w14:paraId="61A168F0" w14:textId="5FE391C1" w:rsidR="00560BA4" w:rsidRPr="00F16CA0" w:rsidRDefault="00560BA4" w:rsidP="00F16CA0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8439D14" w14:textId="77777777" w:rsidR="00560BA4" w:rsidRPr="00F16CA0" w:rsidRDefault="00560BA4" w:rsidP="00F16CA0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560BA4" w:rsidRPr="00F16CA0" w14:paraId="71C91223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4CF53477" w14:textId="77777777" w:rsidR="00560BA4" w:rsidRPr="00F16CA0" w:rsidRDefault="00560BA4" w:rsidP="00F16CA0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5EA9BAF" w14:textId="7CCE1340" w:rsidR="00560BA4" w:rsidRPr="00F16CA0" w:rsidRDefault="00560BA4" w:rsidP="00F16CA0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>Elektroda pętlowa prosta do zestawu &lt;16,5 FR, równoległa do osi elektrody, bipolarna, jednorazowa.</w:t>
            </w:r>
          </w:p>
        </w:tc>
        <w:tc>
          <w:tcPr>
            <w:tcW w:w="1362" w:type="dxa"/>
            <w:vAlign w:val="center"/>
          </w:tcPr>
          <w:p w14:paraId="44637C57" w14:textId="385B8F5A" w:rsidR="00560BA4" w:rsidRPr="00F16CA0" w:rsidRDefault="00560BA4" w:rsidP="00F16CA0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7A5E182" w14:textId="77777777" w:rsidR="00560BA4" w:rsidRPr="00F16CA0" w:rsidRDefault="00560BA4" w:rsidP="00F16CA0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560BA4" w:rsidRPr="00F16CA0" w14:paraId="4206BDDA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49C9C7B8" w14:textId="77777777" w:rsidR="00560BA4" w:rsidRPr="00F16CA0" w:rsidRDefault="00560BA4" w:rsidP="00F16CA0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CFFB330" w14:textId="08C576D0" w:rsidR="00560BA4" w:rsidRPr="00F16CA0" w:rsidRDefault="00560BA4" w:rsidP="00F16CA0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>Elektroda kulkowa do zestawu o średnicy &lt;16,5 FR, zagięta, bipolarna, jednorazowa.</w:t>
            </w:r>
          </w:p>
        </w:tc>
        <w:tc>
          <w:tcPr>
            <w:tcW w:w="1362" w:type="dxa"/>
            <w:vAlign w:val="center"/>
          </w:tcPr>
          <w:p w14:paraId="588A0E01" w14:textId="2B973B4D" w:rsidR="00560BA4" w:rsidRPr="00F16CA0" w:rsidRDefault="00560BA4" w:rsidP="00F16CA0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34826D6" w14:textId="77777777" w:rsidR="00560BA4" w:rsidRPr="00F16CA0" w:rsidRDefault="00560BA4" w:rsidP="00F16CA0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560BA4" w:rsidRPr="00F16CA0" w14:paraId="04EA159E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17AE336F" w14:textId="77777777" w:rsidR="00560BA4" w:rsidRPr="00F16CA0" w:rsidRDefault="00560BA4" w:rsidP="00F16CA0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0F7D7A2" w14:textId="1A6BC715" w:rsidR="00560BA4" w:rsidRPr="00F16CA0" w:rsidRDefault="00560BA4" w:rsidP="00F16CA0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 xml:space="preserve">Światłowód wzmacniany w częściach dystalnych, łączenia bezklejowe. Długość światłowodu </w:t>
            </w:r>
            <w:r w:rsidRPr="00F16CA0">
              <w:rPr>
                <w:rFonts w:cstheme="minorHAnsi"/>
                <w:color w:val="000000" w:themeColor="text1"/>
                <w:sz w:val="18"/>
                <w:szCs w:val="18"/>
              </w:rPr>
              <w:t>min. 230 cm</w:t>
            </w:r>
            <w:r w:rsidRPr="00F16CA0">
              <w:rPr>
                <w:rFonts w:cstheme="minorHAnsi"/>
                <w:color w:val="000000"/>
                <w:sz w:val="18"/>
                <w:szCs w:val="18"/>
              </w:rPr>
              <w:t>. Wyposażony w dwa adaptery umożliwiające połączenie optyki zestawu, ze źródłem światła.</w:t>
            </w:r>
          </w:p>
        </w:tc>
        <w:tc>
          <w:tcPr>
            <w:tcW w:w="1362" w:type="dxa"/>
            <w:vAlign w:val="center"/>
          </w:tcPr>
          <w:p w14:paraId="0F181F12" w14:textId="63CAB703" w:rsidR="00560BA4" w:rsidRPr="00F16CA0" w:rsidRDefault="00560BA4" w:rsidP="00F16CA0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B6CB860" w14:textId="77777777" w:rsidR="00560BA4" w:rsidRPr="00F16CA0" w:rsidRDefault="00560BA4" w:rsidP="00F16CA0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560BA4" w:rsidRPr="00F16CA0" w14:paraId="4174A94D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234C009A" w14:textId="77777777" w:rsidR="00560BA4" w:rsidRPr="00F16CA0" w:rsidRDefault="00560BA4" w:rsidP="00F16CA0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5BFE23F" w14:textId="33C128FA" w:rsidR="00560BA4" w:rsidRPr="00F16CA0" w:rsidRDefault="00560BA4" w:rsidP="00F16CA0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>Przewód bipolarny umożliwiający połączenie elementu roboczego zestawu z diatermią ERBE VIO 300D lub nowszą, z wtykiem MF, posiadaną przez Zamawiającego</w:t>
            </w:r>
          </w:p>
        </w:tc>
        <w:tc>
          <w:tcPr>
            <w:tcW w:w="1362" w:type="dxa"/>
            <w:vAlign w:val="center"/>
          </w:tcPr>
          <w:p w14:paraId="1D575D9C" w14:textId="72DBD736" w:rsidR="00560BA4" w:rsidRPr="00F16CA0" w:rsidRDefault="00560BA4" w:rsidP="00F16CA0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BAEF187" w14:textId="77777777" w:rsidR="00560BA4" w:rsidRPr="00F16CA0" w:rsidRDefault="00560BA4" w:rsidP="00F16CA0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560BA4" w:rsidRPr="00F16CA0" w14:paraId="065FAAF9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338FBFF9" w14:textId="77777777" w:rsidR="00560BA4" w:rsidRPr="00F16CA0" w:rsidRDefault="00560BA4" w:rsidP="00F16CA0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CC4747F" w14:textId="144DC914" w:rsidR="00560BA4" w:rsidRPr="00F16CA0" w:rsidRDefault="00560BA4" w:rsidP="00F16CA0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 xml:space="preserve">Pojemnik do sterylizacji i przechowywania zestawu. Stalowy, perforowany dedykowany do zestawu. Pojemnik wyposażony w uchwyty na części zestawu, zapewniające unieruchomienie i zabezpieczenie wszystkich podzespołów zestawu. Kosz blokowany od góry. Wymiary: </w:t>
            </w:r>
            <w:r w:rsidRPr="00F16CA0">
              <w:rPr>
                <w:rFonts w:cstheme="minorHAnsi"/>
                <w:color w:val="000000" w:themeColor="text1"/>
                <w:sz w:val="18"/>
                <w:szCs w:val="18"/>
              </w:rPr>
              <w:t xml:space="preserve">500x250x80 mm </w:t>
            </w:r>
            <w:r w:rsidRPr="00F16CA0">
              <w:rPr>
                <w:rFonts w:cstheme="minorHAnsi"/>
                <w:color w:val="000000"/>
                <w:sz w:val="18"/>
                <w:szCs w:val="18"/>
              </w:rPr>
              <w:t>+/-5%.</w:t>
            </w:r>
          </w:p>
        </w:tc>
        <w:tc>
          <w:tcPr>
            <w:tcW w:w="1362" w:type="dxa"/>
            <w:vAlign w:val="center"/>
          </w:tcPr>
          <w:p w14:paraId="07B5F918" w14:textId="76DC2CBF" w:rsidR="00560BA4" w:rsidRPr="00F16CA0" w:rsidRDefault="00560BA4" w:rsidP="00F16CA0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B21AFBC" w14:textId="77777777" w:rsidR="00560BA4" w:rsidRPr="00F16CA0" w:rsidRDefault="00560BA4" w:rsidP="00F16CA0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560BA4" w:rsidRPr="00F16CA0" w14:paraId="46CF7983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1F2EC6AF" w14:textId="77777777" w:rsidR="00560BA4" w:rsidRPr="00F16CA0" w:rsidRDefault="00560BA4" w:rsidP="00F16CA0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088F233" w14:textId="0727B7F8" w:rsidR="00560BA4" w:rsidRPr="00F16CA0" w:rsidRDefault="00560BA4" w:rsidP="00F16CA0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>Autoklawowalne, wykonane z tworzywa sztucznego zabezpieczenie optyki zestawu. Przeznaczone do optyk o średnicy 2-10 mm.</w:t>
            </w:r>
          </w:p>
        </w:tc>
        <w:tc>
          <w:tcPr>
            <w:tcW w:w="1362" w:type="dxa"/>
            <w:vAlign w:val="center"/>
          </w:tcPr>
          <w:p w14:paraId="00C08B70" w14:textId="77AD9E95" w:rsidR="00560BA4" w:rsidRPr="00F16CA0" w:rsidRDefault="00560BA4" w:rsidP="00F16CA0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5B1F34B" w14:textId="77777777" w:rsidR="00560BA4" w:rsidRPr="00F16CA0" w:rsidRDefault="00560BA4" w:rsidP="00F16CA0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560BA4" w:rsidRPr="00F16CA0" w14:paraId="42F84553" w14:textId="77777777" w:rsidTr="00040907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20755FF2" w14:textId="77777777" w:rsidR="00560BA4" w:rsidRPr="00F16CA0" w:rsidRDefault="00560BA4" w:rsidP="00F16CA0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1EE9A15" w14:textId="19C9654F" w:rsidR="00560BA4" w:rsidRPr="00F16CA0" w:rsidRDefault="00560BA4" w:rsidP="00F16CA0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F16CA0">
              <w:rPr>
                <w:rFonts w:cstheme="minorHAnsi"/>
                <w:color w:val="000000" w:themeColor="text1"/>
                <w:sz w:val="18"/>
                <w:szCs w:val="18"/>
              </w:rPr>
              <w:t>Funkcjonalny, łatwy w użytkowania i minimalnie traumatyzujący tkanki system umożliwiający wykonania znieczulenia domacicznego. Marker na uchwycie pozwalający na wzrokową kontrolę czy igła jest w pozycji wysuniętej, czy bezpiecznej. System stanowi część zestawu histeroskopowego. Dedykowany do zabiegów endoginekologicznych. Średnica igły 19G +/- 10%, długość 280 mm +/- 5%. Końcówka igły wyposażona w część zabezpieczającą ostrze celem uniknięcia traumatyzacji.</w:t>
            </w:r>
          </w:p>
        </w:tc>
        <w:tc>
          <w:tcPr>
            <w:tcW w:w="1362" w:type="dxa"/>
            <w:vAlign w:val="center"/>
          </w:tcPr>
          <w:p w14:paraId="499A094B" w14:textId="5AA9BC6E" w:rsidR="00560BA4" w:rsidRPr="00F16CA0" w:rsidRDefault="00560BA4" w:rsidP="00F16CA0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35637124" w14:textId="77777777" w:rsidR="00560BA4" w:rsidRPr="00F16CA0" w:rsidRDefault="00560BA4" w:rsidP="00F16CA0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560BA4" w:rsidRPr="00F16CA0" w14:paraId="168DD1CD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4988536C" w14:textId="77777777" w:rsidR="00560BA4" w:rsidRPr="00F16CA0" w:rsidRDefault="00560BA4" w:rsidP="00F16CA0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DF54103" w14:textId="5E4054B9" w:rsidR="00560BA4" w:rsidRPr="00F16CA0" w:rsidRDefault="00560BA4" w:rsidP="00F16CA0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>Możliwość wykonywania zabiegów przy pomocy elektrod bezprądowych, umożliwiających wyłuszczenie patologicznych zmian.</w:t>
            </w:r>
          </w:p>
        </w:tc>
        <w:tc>
          <w:tcPr>
            <w:tcW w:w="1362" w:type="dxa"/>
            <w:vAlign w:val="center"/>
          </w:tcPr>
          <w:p w14:paraId="14CBBD59" w14:textId="3CAE9D01" w:rsidR="00560BA4" w:rsidRPr="00F16CA0" w:rsidRDefault="00560BA4" w:rsidP="00F16CA0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72BCE14" w14:textId="77777777" w:rsidR="00560BA4" w:rsidRPr="00F16CA0" w:rsidRDefault="00560BA4" w:rsidP="00F16CA0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560BA4" w:rsidRPr="00F16CA0" w14:paraId="1B6BE6AF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59B6549A" w14:textId="77777777" w:rsidR="00560BA4" w:rsidRPr="00F16CA0" w:rsidRDefault="00560BA4" w:rsidP="00F16CA0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2D87B73" w14:textId="5CE89236" w:rsidR="00560BA4" w:rsidRPr="00F16CA0" w:rsidRDefault="00560BA4" w:rsidP="00F16CA0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F16CA0">
              <w:rPr>
                <w:rFonts w:cstheme="minorHAnsi"/>
                <w:sz w:val="18"/>
                <w:szCs w:val="18"/>
              </w:rPr>
              <w:t>Kleszczyki biopsyjne, łyżeczkowe, pólsztywne, obie bransze aktywne, narzędzie z kanałem płuczącym i ze złączem LUER-LOCK,  śr.5 FR +/- 5%, dł. 340 mm +/- 10% - 2 szt.</w:t>
            </w:r>
          </w:p>
        </w:tc>
        <w:tc>
          <w:tcPr>
            <w:tcW w:w="1362" w:type="dxa"/>
            <w:vAlign w:val="center"/>
          </w:tcPr>
          <w:p w14:paraId="11CA0F6D" w14:textId="77777777" w:rsidR="00560BA4" w:rsidRPr="00F16CA0" w:rsidRDefault="00560BA4" w:rsidP="00F16CA0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>Tak – 2 pkt</w:t>
            </w:r>
          </w:p>
          <w:p w14:paraId="0604CD03" w14:textId="0FBE76D5" w:rsidR="00560BA4" w:rsidRPr="00F16CA0" w:rsidRDefault="00560BA4" w:rsidP="00F16CA0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>Nie – 0 pkt</w:t>
            </w:r>
          </w:p>
        </w:tc>
        <w:tc>
          <w:tcPr>
            <w:tcW w:w="1559" w:type="dxa"/>
          </w:tcPr>
          <w:p w14:paraId="0139A497" w14:textId="77777777" w:rsidR="00560BA4" w:rsidRPr="00F16CA0" w:rsidRDefault="00560BA4" w:rsidP="00F16CA0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560BA4" w:rsidRPr="00F16CA0" w14:paraId="7F1ECEEA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157D9966" w14:textId="77777777" w:rsidR="00560BA4" w:rsidRPr="00F16CA0" w:rsidRDefault="00560BA4" w:rsidP="00F16CA0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E72AA86" w14:textId="2D5148EC" w:rsidR="00560BA4" w:rsidRPr="00F16CA0" w:rsidRDefault="00560BA4" w:rsidP="00F16CA0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>Nożyczki histeroskopowe, półsztywne, ostro zakończone, jedna bransza ruchoma, śr.1,6 mm. +/- 5% , dł. 340 mm +/- 10%, pogrubienie części roboczej w odcinku dystalnym oraz proksymalnym</w:t>
            </w:r>
          </w:p>
        </w:tc>
        <w:tc>
          <w:tcPr>
            <w:tcW w:w="1362" w:type="dxa"/>
            <w:vAlign w:val="center"/>
          </w:tcPr>
          <w:p w14:paraId="18E17FA1" w14:textId="77777777" w:rsidR="00560BA4" w:rsidRPr="00F16CA0" w:rsidRDefault="00560BA4" w:rsidP="00F16CA0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>Tak – 2 pkt</w:t>
            </w:r>
          </w:p>
          <w:p w14:paraId="600484F2" w14:textId="1DEA0A73" w:rsidR="00560BA4" w:rsidRPr="00F16CA0" w:rsidRDefault="00560BA4" w:rsidP="00F16CA0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>Nie – 0 pkt</w:t>
            </w:r>
          </w:p>
        </w:tc>
        <w:tc>
          <w:tcPr>
            <w:tcW w:w="1559" w:type="dxa"/>
          </w:tcPr>
          <w:p w14:paraId="286D2B31" w14:textId="77777777" w:rsidR="00560BA4" w:rsidRPr="00F16CA0" w:rsidRDefault="00560BA4" w:rsidP="00F16CA0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560BA4" w:rsidRPr="00F16CA0" w14:paraId="23AFDA30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5BF4D839" w14:textId="77777777" w:rsidR="00560BA4" w:rsidRPr="00F16CA0" w:rsidRDefault="00560BA4" w:rsidP="00F16CA0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B17EE3A" w14:textId="7274C41D" w:rsidR="00560BA4" w:rsidRPr="00F16CA0" w:rsidRDefault="00560BA4" w:rsidP="00F16CA0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>Kleszczyki chwytno-biposyjne typu: ALIGATOR, półsztywne, tępo zakończone, jedna bransza ruchoma, śr. 5 Fr +/- 5%, dł. 340 mm +/- 10%, pogrubienie części roboczej w odcinku dystalnym oraz proksymalnym – 2 szt.</w:t>
            </w:r>
          </w:p>
        </w:tc>
        <w:tc>
          <w:tcPr>
            <w:tcW w:w="1362" w:type="dxa"/>
            <w:vAlign w:val="center"/>
          </w:tcPr>
          <w:p w14:paraId="369F91C7" w14:textId="77777777" w:rsidR="00560BA4" w:rsidRPr="00F16CA0" w:rsidRDefault="00560BA4" w:rsidP="00F16CA0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>Tak – 2 pkt</w:t>
            </w:r>
          </w:p>
          <w:p w14:paraId="401B1A03" w14:textId="22A85B62" w:rsidR="00560BA4" w:rsidRPr="00F16CA0" w:rsidRDefault="00560BA4" w:rsidP="00F16CA0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>Nie – 0 pkt</w:t>
            </w:r>
          </w:p>
        </w:tc>
        <w:tc>
          <w:tcPr>
            <w:tcW w:w="1559" w:type="dxa"/>
          </w:tcPr>
          <w:p w14:paraId="6AC1B0FD" w14:textId="77777777" w:rsidR="00560BA4" w:rsidRPr="00F16CA0" w:rsidRDefault="00560BA4" w:rsidP="00F16CA0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560BA4" w:rsidRPr="00F16CA0" w14:paraId="707270C2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2C523C14" w14:textId="77777777" w:rsidR="00560BA4" w:rsidRPr="00F16CA0" w:rsidRDefault="00560BA4" w:rsidP="00F16CA0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9D7A088" w14:textId="72F29A43" w:rsidR="00560BA4" w:rsidRPr="00F16CA0" w:rsidRDefault="00560BA4" w:rsidP="00F16CA0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>Kleszcze typu kulociąg do histeroskopii, półsztywne, obie bransze ruchome, narzędzie z kanałem płuczącym oraz ze złączem LUER-LOCK, śr.5 Fr +/- 5%, dł. 340mm +/- 10%</w:t>
            </w:r>
          </w:p>
        </w:tc>
        <w:tc>
          <w:tcPr>
            <w:tcW w:w="1362" w:type="dxa"/>
            <w:vAlign w:val="center"/>
          </w:tcPr>
          <w:p w14:paraId="2FC67B25" w14:textId="77777777" w:rsidR="00560BA4" w:rsidRPr="00F16CA0" w:rsidRDefault="00560BA4" w:rsidP="00F16CA0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>Tak – 2 pkt</w:t>
            </w:r>
          </w:p>
          <w:p w14:paraId="1036765F" w14:textId="6C6F0B49" w:rsidR="00560BA4" w:rsidRPr="00F16CA0" w:rsidRDefault="00560BA4" w:rsidP="00F16CA0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16CA0">
              <w:rPr>
                <w:rFonts w:cstheme="minorHAnsi"/>
                <w:color w:val="000000"/>
                <w:sz w:val="18"/>
                <w:szCs w:val="18"/>
              </w:rPr>
              <w:t>Nie – 0 pkt</w:t>
            </w:r>
          </w:p>
        </w:tc>
        <w:tc>
          <w:tcPr>
            <w:tcW w:w="1559" w:type="dxa"/>
          </w:tcPr>
          <w:p w14:paraId="1467E2BF" w14:textId="77777777" w:rsidR="00560BA4" w:rsidRPr="00F16CA0" w:rsidRDefault="00560BA4" w:rsidP="00F16CA0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</w:tbl>
    <w:p w14:paraId="4EADD489" w14:textId="77777777" w:rsidR="008664B7" w:rsidRPr="00F16CA0" w:rsidRDefault="008664B7" w:rsidP="00F16CA0">
      <w:pPr>
        <w:spacing w:after="0" w:line="240" w:lineRule="auto"/>
        <w:rPr>
          <w:rFonts w:cstheme="minorHAnsi"/>
          <w:b/>
          <w:color w:val="FF0000"/>
          <w:sz w:val="18"/>
          <w:szCs w:val="18"/>
        </w:rPr>
      </w:pPr>
    </w:p>
    <w:sectPr w:rsidR="008664B7" w:rsidRPr="00F16CA0" w:rsidSect="005773F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3D328" w14:textId="77777777" w:rsidR="006B2931" w:rsidRDefault="006B2931" w:rsidP="005773F2">
      <w:pPr>
        <w:spacing w:after="0" w:line="240" w:lineRule="auto"/>
      </w:pPr>
      <w:r>
        <w:separator/>
      </w:r>
    </w:p>
  </w:endnote>
  <w:endnote w:type="continuationSeparator" w:id="0">
    <w:p w14:paraId="6A32D0D7" w14:textId="77777777" w:rsidR="006B2931" w:rsidRDefault="006B2931" w:rsidP="00577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A55D1" w14:textId="77777777" w:rsidR="006B2931" w:rsidRDefault="006B2931" w:rsidP="005773F2">
      <w:pPr>
        <w:spacing w:after="0" w:line="240" w:lineRule="auto"/>
      </w:pPr>
      <w:r>
        <w:separator/>
      </w:r>
    </w:p>
  </w:footnote>
  <w:footnote w:type="continuationSeparator" w:id="0">
    <w:p w14:paraId="54571285" w14:textId="77777777" w:rsidR="006B2931" w:rsidRDefault="006B2931" w:rsidP="00577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3" w:type="dxa"/>
      <w:tblInd w:w="5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882"/>
      <w:gridCol w:w="6617"/>
      <w:gridCol w:w="735"/>
      <w:gridCol w:w="959"/>
    </w:tblGrid>
    <w:tr w:rsidR="008664B7" w:rsidRPr="000F0791" w14:paraId="2E66B7FB" w14:textId="77777777" w:rsidTr="00B3258F">
      <w:trPr>
        <w:cantSplit/>
        <w:trHeight w:val="150"/>
        <w:tblHeader/>
      </w:trPr>
      <w:tc>
        <w:tcPr>
          <w:tcW w:w="88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5A108C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 w:rsidRPr="000F0791">
            <w:rPr>
              <w:noProof/>
              <w:lang w:eastAsia="pl-PL"/>
            </w:rPr>
            <w:drawing>
              <wp:inline distT="0" distB="0" distL="0" distR="0" wp14:anchorId="090E6322" wp14:editId="07FDB4AB">
                <wp:extent cx="360045" cy="353060"/>
                <wp:effectExtent l="0" t="0" r="1905" b="889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0045" cy="353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1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DDB840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 IM. HELIODORA ŚWIĘCICKIEGO</w:t>
          </w:r>
        </w:p>
        <w:p w14:paraId="5965CFE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UNIWERSYTETU MEDYCZNEGO IM. KAROLA MARCINKOWSKIEGO W POZNANIU</w:t>
          </w:r>
        </w:p>
        <w:p w14:paraId="31E66B79" w14:textId="77777777" w:rsidR="008664B7" w:rsidRPr="000F0791" w:rsidRDefault="008664B7" w:rsidP="008664B7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0F0791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69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FB5D985" w14:textId="77777777" w:rsidR="008664B7" w:rsidRPr="000F0791" w:rsidRDefault="008664B7" w:rsidP="008664B7">
          <w:pPr>
            <w:rPr>
              <w:rFonts w:ascii="Tahoma" w:hAnsi="Tahoma" w:cs="Tahoma"/>
              <w:b/>
              <w:sz w:val="16"/>
              <w:szCs w:val="16"/>
            </w:rPr>
          </w:pPr>
          <w:r w:rsidRPr="000F0791">
            <w:rPr>
              <w:rFonts w:ascii="Tahoma" w:hAnsi="Tahoma" w:cs="Tahoma"/>
              <w:b/>
              <w:bCs/>
              <w:sz w:val="16"/>
              <w:szCs w:val="16"/>
            </w:rPr>
            <w:t>F16-ZP</w:t>
          </w:r>
        </w:p>
      </w:tc>
    </w:tr>
    <w:tr w:rsidR="008664B7" w:rsidRPr="000F0791" w14:paraId="6C973AE9" w14:textId="77777777" w:rsidTr="00B3258F">
      <w:trPr>
        <w:cantSplit/>
        <w:trHeight w:val="148"/>
        <w:tblHeader/>
      </w:trPr>
      <w:tc>
        <w:tcPr>
          <w:tcW w:w="88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5ACEAFB" w14:textId="77777777" w:rsidR="008664B7" w:rsidRPr="000F0791" w:rsidRDefault="008664B7" w:rsidP="008664B7">
          <w:pPr>
            <w:jc w:val="center"/>
            <w:rPr>
              <w:rFonts w:ascii="Tahoma" w:hAnsi="Tahoma" w:cs="Tahoma"/>
            </w:rPr>
          </w:pPr>
        </w:p>
      </w:tc>
      <w:tc>
        <w:tcPr>
          <w:tcW w:w="661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5BF6E02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7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BEC1FDC" w14:textId="77777777" w:rsidR="008664B7" w:rsidRPr="000F0791" w:rsidRDefault="008664B7" w:rsidP="008664B7">
          <w:pPr>
            <w:ind w:left="-119" w:right="-70" w:firstLine="119"/>
            <w:rPr>
              <w:rFonts w:ascii="Tahoma" w:hAnsi="Tahoma" w:cs="Tahoma"/>
              <w:b/>
              <w:bCs/>
              <w:sz w:val="14"/>
              <w:szCs w:val="14"/>
            </w:rPr>
          </w:pPr>
          <w:r w:rsidRPr="000F0791">
            <w:rPr>
              <w:rFonts w:ascii="Tahoma" w:hAnsi="Tahoma" w:cs="Tahoma"/>
              <w:sz w:val="14"/>
              <w:szCs w:val="14"/>
            </w:rPr>
            <w:t>Wydanie 3</w:t>
          </w:r>
        </w:p>
      </w:tc>
      <w:tc>
        <w:tcPr>
          <w:tcW w:w="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C8F32A9" w14:textId="77777777" w:rsidR="008664B7" w:rsidRPr="000F0791" w:rsidRDefault="008664B7" w:rsidP="008664B7">
          <w:pPr>
            <w:jc w:val="center"/>
          </w:pPr>
          <w:r w:rsidRPr="000F0791">
            <w:rPr>
              <w:rFonts w:ascii="Tahoma" w:hAnsi="Tahoma" w:cs="Tahoma"/>
              <w:sz w:val="14"/>
            </w:rPr>
            <w:t xml:space="preserve">Strona </w:t>
          </w:r>
          <w:r w:rsidRPr="000F0791">
            <w:rPr>
              <w:rFonts w:ascii="Tahoma" w:hAnsi="Tahoma" w:cs="Tahoma"/>
              <w:sz w:val="14"/>
            </w:rPr>
            <w:fldChar w:fldCharType="begin"/>
          </w:r>
          <w:r w:rsidRPr="000F0791">
            <w:rPr>
              <w:rFonts w:ascii="Tahoma" w:hAnsi="Tahoma" w:cs="Tahoma"/>
              <w:sz w:val="14"/>
            </w:rPr>
            <w:instrText xml:space="preserve"> PAGE </w:instrText>
          </w:r>
          <w:r w:rsidRPr="000F0791">
            <w:rPr>
              <w:rFonts w:ascii="Tahoma" w:hAnsi="Tahoma" w:cs="Tahoma"/>
              <w:sz w:val="14"/>
            </w:rPr>
            <w:fldChar w:fldCharType="separate"/>
          </w:r>
          <w:r w:rsidR="00EE6678">
            <w:rPr>
              <w:rFonts w:ascii="Tahoma" w:hAnsi="Tahoma" w:cs="Tahoma"/>
              <w:noProof/>
              <w:sz w:val="14"/>
            </w:rPr>
            <w:t>1</w:t>
          </w:r>
          <w:r w:rsidRPr="000F0791">
            <w:rPr>
              <w:rFonts w:ascii="Tahoma" w:hAnsi="Tahoma" w:cs="Tahoma"/>
              <w:sz w:val="14"/>
            </w:rPr>
            <w:fldChar w:fldCharType="end"/>
          </w:r>
          <w:r w:rsidRPr="000F0791">
            <w:rPr>
              <w:rFonts w:ascii="Tahoma" w:hAnsi="Tahoma" w:cs="Tahoma"/>
              <w:sz w:val="14"/>
            </w:rPr>
            <w:t xml:space="preserve"> z </w:t>
          </w:r>
          <w:r>
            <w:rPr>
              <w:rFonts w:ascii="Tahoma" w:hAnsi="Tahoma" w:cs="Tahoma"/>
              <w:sz w:val="14"/>
            </w:rPr>
            <w:t>3</w:t>
          </w:r>
          <w:r w:rsidRPr="000F0791">
            <w:rPr>
              <w:rFonts w:ascii="Tahoma" w:hAnsi="Tahoma" w:cs="Tahoma"/>
              <w:sz w:val="14"/>
            </w:rPr>
            <w:t>3</w:t>
          </w:r>
        </w:p>
      </w:tc>
    </w:tr>
    <w:tr w:rsidR="008664B7" w:rsidRPr="000F0791" w14:paraId="41DAFC50" w14:textId="77777777" w:rsidTr="00B3258F">
      <w:trPr>
        <w:cantSplit/>
        <w:trHeight w:val="459"/>
      </w:trPr>
      <w:tc>
        <w:tcPr>
          <w:tcW w:w="9193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0BBDB5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</w:rPr>
          </w:pPr>
          <w:r w:rsidRPr="000F0791">
            <w:rPr>
              <w:rFonts w:ascii="Tahoma" w:hAnsi="Tahoma" w:cs="Tahoma"/>
              <w:b/>
            </w:rPr>
            <w:t>Opis przedmiotu zamówienia</w:t>
          </w:r>
        </w:p>
      </w:tc>
    </w:tr>
  </w:tbl>
  <w:p w14:paraId="7BB9EE1E" w14:textId="72499030" w:rsidR="006B2931" w:rsidRDefault="006B2931" w:rsidP="008664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339B2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76BA1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B43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C195C90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05283"/>
    <w:multiLevelType w:val="hybridMultilevel"/>
    <w:tmpl w:val="E99CC2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1665A"/>
    <w:multiLevelType w:val="hybridMultilevel"/>
    <w:tmpl w:val="A6FEFE98"/>
    <w:lvl w:ilvl="0" w:tplc="FFFFFFFF">
      <w:numFmt w:val="bullet"/>
      <w:lvlText w:val=""/>
      <w:legacy w:legacy="1" w:legacySpace="0" w:legacyIndent="142"/>
      <w:lvlJc w:val="left"/>
      <w:pPr>
        <w:ind w:left="142" w:hanging="142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CD514D"/>
    <w:multiLevelType w:val="multilevel"/>
    <w:tmpl w:val="843EA77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7D87288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AC022E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55057"/>
    <w:multiLevelType w:val="hybridMultilevel"/>
    <w:tmpl w:val="E2CC60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18D4E60"/>
    <w:multiLevelType w:val="hybridMultilevel"/>
    <w:tmpl w:val="F1E47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CF4A90"/>
    <w:multiLevelType w:val="hybridMultilevel"/>
    <w:tmpl w:val="23467C50"/>
    <w:lvl w:ilvl="0" w:tplc="9E1C238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734D3F"/>
    <w:multiLevelType w:val="hybridMultilevel"/>
    <w:tmpl w:val="5832CA04"/>
    <w:lvl w:ilvl="0" w:tplc="0415000F">
      <w:start w:val="1"/>
      <w:numFmt w:val="decimal"/>
      <w:lvlText w:val="%1."/>
      <w:lvlJc w:val="left"/>
      <w:pPr>
        <w:ind w:left="1026" w:hanging="360"/>
      </w:pPr>
    </w:lvl>
    <w:lvl w:ilvl="1" w:tplc="04150019" w:tentative="1">
      <w:start w:val="1"/>
      <w:numFmt w:val="lowerLetter"/>
      <w:lvlText w:val="%2."/>
      <w:lvlJc w:val="left"/>
      <w:pPr>
        <w:ind w:left="1746" w:hanging="360"/>
      </w:pPr>
    </w:lvl>
    <w:lvl w:ilvl="2" w:tplc="0415001B" w:tentative="1">
      <w:start w:val="1"/>
      <w:numFmt w:val="lowerRoman"/>
      <w:lvlText w:val="%3."/>
      <w:lvlJc w:val="right"/>
      <w:pPr>
        <w:ind w:left="2466" w:hanging="180"/>
      </w:pPr>
    </w:lvl>
    <w:lvl w:ilvl="3" w:tplc="0415000F" w:tentative="1">
      <w:start w:val="1"/>
      <w:numFmt w:val="decimal"/>
      <w:lvlText w:val="%4."/>
      <w:lvlJc w:val="left"/>
      <w:pPr>
        <w:ind w:left="3186" w:hanging="360"/>
      </w:pPr>
    </w:lvl>
    <w:lvl w:ilvl="4" w:tplc="04150019" w:tentative="1">
      <w:start w:val="1"/>
      <w:numFmt w:val="lowerLetter"/>
      <w:lvlText w:val="%5."/>
      <w:lvlJc w:val="left"/>
      <w:pPr>
        <w:ind w:left="3906" w:hanging="360"/>
      </w:pPr>
    </w:lvl>
    <w:lvl w:ilvl="5" w:tplc="0415001B" w:tentative="1">
      <w:start w:val="1"/>
      <w:numFmt w:val="lowerRoman"/>
      <w:lvlText w:val="%6."/>
      <w:lvlJc w:val="right"/>
      <w:pPr>
        <w:ind w:left="4626" w:hanging="180"/>
      </w:pPr>
    </w:lvl>
    <w:lvl w:ilvl="6" w:tplc="0415000F" w:tentative="1">
      <w:start w:val="1"/>
      <w:numFmt w:val="decimal"/>
      <w:lvlText w:val="%7."/>
      <w:lvlJc w:val="left"/>
      <w:pPr>
        <w:ind w:left="5346" w:hanging="360"/>
      </w:pPr>
    </w:lvl>
    <w:lvl w:ilvl="7" w:tplc="04150019" w:tentative="1">
      <w:start w:val="1"/>
      <w:numFmt w:val="lowerLetter"/>
      <w:lvlText w:val="%8."/>
      <w:lvlJc w:val="left"/>
      <w:pPr>
        <w:ind w:left="6066" w:hanging="360"/>
      </w:pPr>
    </w:lvl>
    <w:lvl w:ilvl="8" w:tplc="0415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13" w15:restartNumberingAfterBreak="0">
    <w:nsid w:val="323D7BAC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875553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D31A6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1D173C"/>
    <w:multiLevelType w:val="hybridMultilevel"/>
    <w:tmpl w:val="31B66764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7" w15:restartNumberingAfterBreak="0">
    <w:nsid w:val="443F59C1"/>
    <w:multiLevelType w:val="hybridMultilevel"/>
    <w:tmpl w:val="8554677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18" w15:restartNumberingAfterBreak="0">
    <w:nsid w:val="50476743"/>
    <w:multiLevelType w:val="hybridMultilevel"/>
    <w:tmpl w:val="87FC4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695316"/>
    <w:multiLevelType w:val="hybridMultilevel"/>
    <w:tmpl w:val="7EB449D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 w15:restartNumberingAfterBreak="0">
    <w:nsid w:val="6119540F"/>
    <w:multiLevelType w:val="hybridMultilevel"/>
    <w:tmpl w:val="01325C6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613F0A43"/>
    <w:multiLevelType w:val="hybridMultilevel"/>
    <w:tmpl w:val="D74E8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276AC5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0"/>
  </w:num>
  <w:num w:numId="2">
    <w:abstractNumId w:val="9"/>
  </w:num>
  <w:num w:numId="3">
    <w:abstractNumId w:val="20"/>
  </w:num>
  <w:num w:numId="4">
    <w:abstractNumId w:val="16"/>
  </w:num>
  <w:num w:numId="5">
    <w:abstractNumId w:val="17"/>
  </w:num>
  <w:num w:numId="6">
    <w:abstractNumId w:val="21"/>
  </w:num>
  <w:num w:numId="7">
    <w:abstractNumId w:val="12"/>
  </w:num>
  <w:num w:numId="8">
    <w:abstractNumId w:val="19"/>
  </w:num>
  <w:num w:numId="9">
    <w:abstractNumId w:val="13"/>
  </w:num>
  <w:num w:numId="10">
    <w:abstractNumId w:val="18"/>
  </w:num>
  <w:num w:numId="11">
    <w:abstractNumId w:val="11"/>
  </w:num>
  <w:num w:numId="12">
    <w:abstractNumId w:val="8"/>
  </w:num>
  <w:num w:numId="13">
    <w:abstractNumId w:val="14"/>
  </w:num>
  <w:num w:numId="14">
    <w:abstractNumId w:val="4"/>
  </w:num>
  <w:num w:numId="15">
    <w:abstractNumId w:val="7"/>
  </w:num>
  <w:num w:numId="16">
    <w:abstractNumId w:val="5"/>
  </w:num>
  <w:num w:numId="17">
    <w:abstractNumId w:val="0"/>
  </w:num>
  <w:num w:numId="18">
    <w:abstractNumId w:val="3"/>
  </w:num>
  <w:num w:numId="19">
    <w:abstractNumId w:val="15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6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76E"/>
    <w:rsid w:val="0000076E"/>
    <w:rsid w:val="000017CB"/>
    <w:rsid w:val="000045CD"/>
    <w:rsid w:val="0002335F"/>
    <w:rsid w:val="00046E06"/>
    <w:rsid w:val="00065525"/>
    <w:rsid w:val="000949FA"/>
    <w:rsid w:val="000B2436"/>
    <w:rsid w:val="000C4346"/>
    <w:rsid w:val="000D6874"/>
    <w:rsid w:val="00115805"/>
    <w:rsid w:val="00144ADA"/>
    <w:rsid w:val="00197DCA"/>
    <w:rsid w:val="001A4109"/>
    <w:rsid w:val="001B00B3"/>
    <w:rsid w:val="001B5116"/>
    <w:rsid w:val="001C68EE"/>
    <w:rsid w:val="001E7B84"/>
    <w:rsid w:val="00213E42"/>
    <w:rsid w:val="0023128E"/>
    <w:rsid w:val="00255D5E"/>
    <w:rsid w:val="0026456A"/>
    <w:rsid w:val="002674DB"/>
    <w:rsid w:val="0028321B"/>
    <w:rsid w:val="00296403"/>
    <w:rsid w:val="002A0F87"/>
    <w:rsid w:val="002C3F24"/>
    <w:rsid w:val="003031E4"/>
    <w:rsid w:val="0033194F"/>
    <w:rsid w:val="00376DFC"/>
    <w:rsid w:val="003951BC"/>
    <w:rsid w:val="003A55B9"/>
    <w:rsid w:val="003B3092"/>
    <w:rsid w:val="003C4E7F"/>
    <w:rsid w:val="003E5E3B"/>
    <w:rsid w:val="00440DEC"/>
    <w:rsid w:val="00446E53"/>
    <w:rsid w:val="004524D0"/>
    <w:rsid w:val="00475E32"/>
    <w:rsid w:val="00480BB5"/>
    <w:rsid w:val="0049708B"/>
    <w:rsid w:val="004E3F0A"/>
    <w:rsid w:val="004E5221"/>
    <w:rsid w:val="004E64FE"/>
    <w:rsid w:val="004F16DD"/>
    <w:rsid w:val="00520603"/>
    <w:rsid w:val="00530E9C"/>
    <w:rsid w:val="0053298C"/>
    <w:rsid w:val="00560BA4"/>
    <w:rsid w:val="005773F2"/>
    <w:rsid w:val="00587A1F"/>
    <w:rsid w:val="0059571B"/>
    <w:rsid w:val="005B2D8A"/>
    <w:rsid w:val="005C2FE7"/>
    <w:rsid w:val="005C3718"/>
    <w:rsid w:val="005C733C"/>
    <w:rsid w:val="005E6954"/>
    <w:rsid w:val="00612DF4"/>
    <w:rsid w:val="006818FD"/>
    <w:rsid w:val="00682D63"/>
    <w:rsid w:val="0068521B"/>
    <w:rsid w:val="006B2931"/>
    <w:rsid w:val="006C7BCE"/>
    <w:rsid w:val="006E2FA0"/>
    <w:rsid w:val="006E5705"/>
    <w:rsid w:val="00704C86"/>
    <w:rsid w:val="00714ACD"/>
    <w:rsid w:val="007253CB"/>
    <w:rsid w:val="007263B7"/>
    <w:rsid w:val="00741B71"/>
    <w:rsid w:val="0078289C"/>
    <w:rsid w:val="007A3275"/>
    <w:rsid w:val="007A6A60"/>
    <w:rsid w:val="00836BD7"/>
    <w:rsid w:val="008434F4"/>
    <w:rsid w:val="0084686D"/>
    <w:rsid w:val="00847BD0"/>
    <w:rsid w:val="00854600"/>
    <w:rsid w:val="008613E3"/>
    <w:rsid w:val="008664B7"/>
    <w:rsid w:val="0088593E"/>
    <w:rsid w:val="008A088B"/>
    <w:rsid w:val="008C118F"/>
    <w:rsid w:val="008D1C57"/>
    <w:rsid w:val="008D5510"/>
    <w:rsid w:val="00927E7A"/>
    <w:rsid w:val="00967FA6"/>
    <w:rsid w:val="00992887"/>
    <w:rsid w:val="009B5EAA"/>
    <w:rsid w:val="009C378A"/>
    <w:rsid w:val="009D6FF7"/>
    <w:rsid w:val="009E4F3D"/>
    <w:rsid w:val="009F48EE"/>
    <w:rsid w:val="00A01A1F"/>
    <w:rsid w:val="00A1268C"/>
    <w:rsid w:val="00A2037F"/>
    <w:rsid w:val="00A21088"/>
    <w:rsid w:val="00A2425B"/>
    <w:rsid w:val="00A56EA2"/>
    <w:rsid w:val="00A730ED"/>
    <w:rsid w:val="00A82015"/>
    <w:rsid w:val="00A93F7D"/>
    <w:rsid w:val="00AA7956"/>
    <w:rsid w:val="00AD0478"/>
    <w:rsid w:val="00AF5452"/>
    <w:rsid w:val="00B03D7A"/>
    <w:rsid w:val="00B0759C"/>
    <w:rsid w:val="00B206B9"/>
    <w:rsid w:val="00B26B43"/>
    <w:rsid w:val="00B37209"/>
    <w:rsid w:val="00B4259B"/>
    <w:rsid w:val="00B72DB3"/>
    <w:rsid w:val="00BA5261"/>
    <w:rsid w:val="00BB614E"/>
    <w:rsid w:val="00BF2306"/>
    <w:rsid w:val="00C1166B"/>
    <w:rsid w:val="00C14370"/>
    <w:rsid w:val="00C37591"/>
    <w:rsid w:val="00C3781F"/>
    <w:rsid w:val="00C5429F"/>
    <w:rsid w:val="00C55249"/>
    <w:rsid w:val="00CA76ED"/>
    <w:rsid w:val="00CC5E54"/>
    <w:rsid w:val="00CE3931"/>
    <w:rsid w:val="00CE6491"/>
    <w:rsid w:val="00D41179"/>
    <w:rsid w:val="00D426E6"/>
    <w:rsid w:val="00D56603"/>
    <w:rsid w:val="00D57CBC"/>
    <w:rsid w:val="00DC1778"/>
    <w:rsid w:val="00E46980"/>
    <w:rsid w:val="00E53345"/>
    <w:rsid w:val="00E53C4D"/>
    <w:rsid w:val="00E571C6"/>
    <w:rsid w:val="00E618C4"/>
    <w:rsid w:val="00EB269F"/>
    <w:rsid w:val="00EE4705"/>
    <w:rsid w:val="00EE6678"/>
    <w:rsid w:val="00EE6D77"/>
    <w:rsid w:val="00F016F8"/>
    <w:rsid w:val="00F04CA3"/>
    <w:rsid w:val="00F1090E"/>
    <w:rsid w:val="00F16CA0"/>
    <w:rsid w:val="00F34185"/>
    <w:rsid w:val="00F54376"/>
    <w:rsid w:val="00F5487F"/>
    <w:rsid w:val="00F62E6F"/>
    <w:rsid w:val="00F66A53"/>
    <w:rsid w:val="00F93F34"/>
    <w:rsid w:val="00FA5EAD"/>
    <w:rsid w:val="00FC0107"/>
    <w:rsid w:val="00FC5380"/>
    <w:rsid w:val="00FD6A41"/>
    <w:rsid w:val="00FE4D56"/>
    <w:rsid w:val="00FE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DAC52B"/>
  <w15:chartTrackingRefBased/>
  <w15:docId w15:val="{C121D40E-F98F-4BFF-80D6-F47ED7DD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0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1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6D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Akapit z listą BS,L1,Akapit z listą5,Akapit normalny,Akapit z listą1,Kolorowa lista — akcent 11,List Paragraph2,CW_Lista,lp1,Preambuła,Dot pt,F5 List Paragraph,Recommendation,List Paragraph11,Podsis rysunku"/>
    <w:basedOn w:val="Normalny"/>
    <w:link w:val="AkapitzlistZnak"/>
    <w:uiPriority w:val="34"/>
    <w:qFormat/>
    <w:rsid w:val="00F04CA3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BB614E"/>
    <w:pPr>
      <w:spacing w:after="0" w:line="240" w:lineRule="auto"/>
    </w:pPr>
    <w:rPr>
      <w:rFonts w:ascii="Calibri" w:eastAsiaTheme="minorEastAsia" w:hAnsi="Calibri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614E"/>
    <w:rPr>
      <w:rFonts w:ascii="Calibri" w:eastAsiaTheme="minorEastAsia" w:hAnsi="Calibri" w:cs="Times New Roman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73F2"/>
  </w:style>
  <w:style w:type="paragraph" w:styleId="Stopka">
    <w:name w:val="footer"/>
    <w:basedOn w:val="Normalny"/>
    <w:link w:val="Stopka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3F2"/>
  </w:style>
  <w:style w:type="paragraph" w:styleId="Tekstpodstawowy3">
    <w:name w:val="Body Text 3"/>
    <w:basedOn w:val="Normalny"/>
    <w:link w:val="Tekstpodstawowy3Znak"/>
    <w:uiPriority w:val="99"/>
    <w:rsid w:val="002645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6456A"/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264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L1 Znak,Akapit z listą5 Znak,Akapit normalny Znak,Akapit z listą1 Znak,Kolorowa lista — akcent 11 Znak,List Paragraph2 Znak,CW_Lista Znak,lp1 Znak,Preambuła Znak,Dot pt Znak"/>
    <w:link w:val="Akapitzlist"/>
    <w:uiPriority w:val="34"/>
    <w:qFormat/>
    <w:locked/>
    <w:rsid w:val="0026456A"/>
  </w:style>
  <w:style w:type="paragraph" w:customStyle="1" w:styleId="Bezodstpw1">
    <w:name w:val="Bez odstępów1"/>
    <w:uiPriority w:val="99"/>
    <w:rsid w:val="0026456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omynie">
    <w:name w:val="Domy徑nie"/>
    <w:uiPriority w:val="99"/>
    <w:rsid w:val="003C4E7F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Times New Roman" w:cs="Verdana"/>
      <w:kern w:val="2"/>
      <w:lang w:eastAsia="pl-PL"/>
    </w:rPr>
  </w:style>
  <w:style w:type="paragraph" w:styleId="Bezodstpw">
    <w:name w:val="No Spacing"/>
    <w:uiPriority w:val="1"/>
    <w:qFormat/>
    <w:rsid w:val="008664B7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78CBD-D287-4751-A731-40AF582E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839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Honoriusz Pierzchała</dc:creator>
  <cp:keywords/>
  <dc:description/>
  <cp:lastModifiedBy>personel</cp:lastModifiedBy>
  <cp:revision>10</cp:revision>
  <cp:lastPrinted>2023-08-02T05:24:00Z</cp:lastPrinted>
  <dcterms:created xsi:type="dcterms:W3CDTF">2023-08-02T05:47:00Z</dcterms:created>
  <dcterms:modified xsi:type="dcterms:W3CDTF">2024-08-09T10:23:00Z</dcterms:modified>
</cp:coreProperties>
</file>