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0F7E8A0C" w:rsidR="008656E9" w:rsidRPr="008876FB" w:rsidRDefault="008656E9" w:rsidP="005B1E82">
      <w:pPr>
        <w:spacing w:after="0" w:line="240" w:lineRule="auto"/>
        <w:jc w:val="right"/>
        <w:rPr>
          <w:rFonts w:cs="Calibri"/>
        </w:rPr>
      </w:pPr>
      <w:r w:rsidRPr="008876FB">
        <w:rPr>
          <w:rFonts w:cs="Calibri"/>
        </w:rPr>
        <w:t>Załącznik A do SWZ nr 271.</w:t>
      </w:r>
      <w:r w:rsidR="00B33FFF">
        <w:rPr>
          <w:rFonts w:cs="Calibri"/>
        </w:rPr>
        <w:t>8</w:t>
      </w:r>
      <w:r w:rsidRPr="008876FB">
        <w:rPr>
          <w:rFonts w:cs="Calibri"/>
        </w:rPr>
        <w:t>.2024/EFS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36A3C72A"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jest </w:t>
      </w:r>
      <w:r w:rsidR="00154D05">
        <w:rPr>
          <w:rFonts w:eastAsia="Times New Roman" w:cs="Calibri"/>
          <w:b/>
          <w:sz w:val="24"/>
          <w:szCs w:val="24"/>
          <w:lang w:eastAsia="pl-PL"/>
        </w:rPr>
        <w:t>z</w:t>
      </w:r>
      <w:r w:rsidR="00154D05" w:rsidRPr="00154D05">
        <w:rPr>
          <w:rFonts w:eastAsia="Times New Roman" w:cs="Calibri"/>
          <w:b/>
          <w:sz w:val="24"/>
          <w:szCs w:val="24"/>
          <w:lang w:eastAsia="pl-PL"/>
        </w:rPr>
        <w:t xml:space="preserve">akup </w:t>
      </w:r>
      <w:r w:rsidR="00C0198D">
        <w:rPr>
          <w:rFonts w:eastAsia="Times New Roman" w:cs="Calibri"/>
          <w:b/>
          <w:sz w:val="24"/>
          <w:szCs w:val="24"/>
          <w:lang w:eastAsia="pl-PL"/>
        </w:rPr>
        <w:t>monitorów interaktywnych</w:t>
      </w:r>
      <w:r w:rsidR="00154D05" w:rsidRPr="00154D05">
        <w:rPr>
          <w:rFonts w:eastAsia="Times New Roman" w:cs="Calibri"/>
          <w:b/>
          <w:sz w:val="24"/>
          <w:szCs w:val="24"/>
          <w:lang w:eastAsia="pl-PL"/>
        </w:rPr>
        <w:t xml:space="preserve"> do szkół podstawowych Gminy Stężyca</w:t>
      </w:r>
      <w:r w:rsidR="00D355FA" w:rsidRPr="00D355FA">
        <w:rPr>
          <w:rFonts w:eastAsia="Times New Roman" w:cs="Calibri"/>
          <w:b/>
          <w:sz w:val="24"/>
          <w:szCs w:val="24"/>
          <w:lang w:eastAsia="pl-PL"/>
        </w:rPr>
        <w:t xml:space="preserve"> </w:t>
      </w:r>
      <w:r w:rsidRPr="008876FB">
        <w:rPr>
          <w:rFonts w:eastAsia="Times New Roman" w:cs="Calibri"/>
          <w:bCs/>
          <w:sz w:val="24"/>
          <w:szCs w:val="24"/>
          <w:lang w:eastAsia="pl-PL"/>
        </w:rPr>
        <w:t>współfinansowan</w:t>
      </w:r>
      <w:r w:rsidR="00C0198D">
        <w:rPr>
          <w:rFonts w:eastAsia="Times New Roman" w:cs="Calibri"/>
          <w:bCs/>
          <w:sz w:val="24"/>
          <w:szCs w:val="24"/>
          <w:lang w:eastAsia="pl-PL"/>
        </w:rPr>
        <w:t>y</w:t>
      </w:r>
      <w:r w:rsidRPr="008876FB">
        <w:rPr>
          <w:rFonts w:eastAsia="Times New Roman" w:cs="Calibri"/>
          <w:bCs/>
          <w:sz w:val="24"/>
          <w:szCs w:val="24"/>
          <w:lang w:eastAsia="pl-PL"/>
        </w:rPr>
        <w:t xml:space="preserve"> ze środków Europejskiego Funduszu Społecznego Plus w ramach Programu Fundusze Europejskie dla Pomorza 2021-2027. </w:t>
      </w:r>
    </w:p>
    <w:p w14:paraId="7410C0E7" w14:textId="435C86D1" w:rsidR="008876FB" w:rsidRDefault="008656E9" w:rsidP="008876FB">
      <w:pPr>
        <w:spacing w:line="276" w:lineRule="auto"/>
        <w:jc w:val="both"/>
        <w:rPr>
          <w:rFonts w:eastAsia="Times New Roman" w:cs="Calibri"/>
          <w:bCs/>
          <w:sz w:val="24"/>
          <w:szCs w:val="24"/>
          <w:lang w:eastAsia="pl-PL"/>
        </w:rPr>
      </w:pPr>
      <w:r w:rsidRPr="008876FB">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068D0D00" w14:textId="77777777" w:rsidR="00C0198D" w:rsidRPr="00C0198D" w:rsidRDefault="00C0198D" w:rsidP="00C0198D">
      <w:pPr>
        <w:spacing w:after="0" w:line="276" w:lineRule="auto"/>
        <w:jc w:val="both"/>
        <w:rPr>
          <w:rFonts w:eastAsia="Times New Roman" w:cs="Calibri"/>
          <w:bCs/>
          <w:sz w:val="24"/>
          <w:szCs w:val="24"/>
          <w:lang w:eastAsia="pl-PL"/>
        </w:rPr>
      </w:pPr>
      <w:r w:rsidRPr="00C0198D">
        <w:rPr>
          <w:rFonts w:eastAsia="Times New Roman" w:cs="Calibri"/>
          <w:bCs/>
          <w:sz w:val="24"/>
          <w:szCs w:val="24"/>
          <w:lang w:eastAsia="pl-PL"/>
        </w:rPr>
        <w:t>Sprzęt będzie stanowił wyposażenie Szkół Podstawowych wchodzących w skład Zespołów Kształcenia i Wychowania, dla których organem prowadzącym jest Gmina Stężyca tj.:</w:t>
      </w:r>
    </w:p>
    <w:p w14:paraId="6C386E59" w14:textId="222C712B" w:rsidR="00C0198D" w:rsidRPr="00C0198D" w:rsidRDefault="00C0198D" w:rsidP="00C0198D">
      <w:pPr>
        <w:pStyle w:val="Akapitzlist"/>
        <w:numPr>
          <w:ilvl w:val="0"/>
          <w:numId w:val="5"/>
        </w:numPr>
        <w:spacing w:after="0" w:line="276" w:lineRule="auto"/>
        <w:ind w:left="567"/>
        <w:jc w:val="both"/>
        <w:rPr>
          <w:rFonts w:eastAsia="Times New Roman" w:cs="Calibri"/>
          <w:bCs/>
          <w:sz w:val="24"/>
          <w:szCs w:val="24"/>
          <w:lang w:eastAsia="pl-PL"/>
        </w:rPr>
      </w:pPr>
      <w:r w:rsidRPr="00C0198D">
        <w:rPr>
          <w:rFonts w:eastAsia="Times New Roman" w:cs="Calibri"/>
          <w:bCs/>
          <w:sz w:val="24"/>
          <w:szCs w:val="24"/>
          <w:lang w:eastAsia="pl-PL"/>
        </w:rPr>
        <w:t>Szkoła Podstawowa im. Eugeniusza Kwiatkowskiego w Stężycy wchodząca w skład Zespołu Kształcenia i Wychowania w Stężycy (ul. Abrahama 2, 83-322 Stężyca),</w:t>
      </w:r>
    </w:p>
    <w:p w14:paraId="4BEE32C2" w14:textId="280FA9A0" w:rsidR="00C0198D" w:rsidRPr="00C0198D" w:rsidRDefault="00C0198D" w:rsidP="00C0198D">
      <w:pPr>
        <w:pStyle w:val="Akapitzlist"/>
        <w:numPr>
          <w:ilvl w:val="0"/>
          <w:numId w:val="5"/>
        </w:numPr>
        <w:spacing w:after="0" w:line="276" w:lineRule="auto"/>
        <w:ind w:left="567"/>
        <w:jc w:val="both"/>
        <w:rPr>
          <w:rFonts w:eastAsia="Times New Roman" w:cs="Calibri"/>
          <w:bCs/>
          <w:sz w:val="24"/>
          <w:szCs w:val="24"/>
          <w:lang w:eastAsia="pl-PL"/>
        </w:rPr>
      </w:pPr>
      <w:r w:rsidRPr="00C0198D">
        <w:rPr>
          <w:rFonts w:eastAsia="Times New Roman" w:cs="Calibri"/>
          <w:bCs/>
          <w:sz w:val="24"/>
          <w:szCs w:val="24"/>
          <w:lang w:eastAsia="pl-PL"/>
        </w:rPr>
        <w:t xml:space="preserve">Szkoła Podstawowa im. Juliusza </w:t>
      </w:r>
      <w:proofErr w:type="spellStart"/>
      <w:r w:rsidRPr="00C0198D">
        <w:rPr>
          <w:rFonts w:eastAsia="Times New Roman" w:cs="Calibri"/>
          <w:bCs/>
          <w:sz w:val="24"/>
          <w:szCs w:val="24"/>
          <w:lang w:eastAsia="pl-PL"/>
        </w:rPr>
        <w:t>Kraziewicza</w:t>
      </w:r>
      <w:proofErr w:type="spellEnd"/>
      <w:r w:rsidRPr="00C0198D">
        <w:rPr>
          <w:rFonts w:eastAsia="Times New Roman" w:cs="Calibri"/>
          <w:bCs/>
          <w:sz w:val="24"/>
          <w:szCs w:val="24"/>
          <w:lang w:eastAsia="pl-PL"/>
        </w:rPr>
        <w:t xml:space="preserve"> w Szymbarku wchodząca w skład Zespołu Kształcenia i Wychowania w Szymbarku (ul. Szkolna 1, 83-315 Szymbark),</w:t>
      </w:r>
    </w:p>
    <w:p w14:paraId="0C1E2202" w14:textId="3D441434" w:rsidR="00C0198D" w:rsidRPr="00C0198D" w:rsidRDefault="00C0198D" w:rsidP="00C0198D">
      <w:pPr>
        <w:pStyle w:val="Akapitzlist"/>
        <w:numPr>
          <w:ilvl w:val="0"/>
          <w:numId w:val="5"/>
        </w:numPr>
        <w:spacing w:after="0" w:line="276" w:lineRule="auto"/>
        <w:ind w:left="567"/>
        <w:jc w:val="both"/>
        <w:rPr>
          <w:rFonts w:eastAsia="Times New Roman" w:cs="Calibri"/>
          <w:bCs/>
          <w:sz w:val="24"/>
          <w:szCs w:val="24"/>
          <w:lang w:eastAsia="pl-PL"/>
        </w:rPr>
      </w:pPr>
      <w:r w:rsidRPr="00C0198D">
        <w:rPr>
          <w:rFonts w:eastAsia="Times New Roman" w:cs="Calibri"/>
          <w:bCs/>
          <w:sz w:val="24"/>
          <w:szCs w:val="24"/>
          <w:lang w:eastAsia="pl-PL"/>
        </w:rPr>
        <w:t>Szkoła Podstawowa im. Aleksandra Majkowskiego w Klukowej Hucie wchodząca w skład Zespołu Kształcenia i Wychowania w Klukowej Hucie (ul. Józefa Wybickiego 6, 83-322 Klukowa Huta),</w:t>
      </w:r>
    </w:p>
    <w:p w14:paraId="7B0B5EEB" w14:textId="3316156D" w:rsidR="00C0198D" w:rsidRPr="00C0198D" w:rsidRDefault="00C0198D" w:rsidP="00C0198D">
      <w:pPr>
        <w:pStyle w:val="Akapitzlist"/>
        <w:numPr>
          <w:ilvl w:val="0"/>
          <w:numId w:val="5"/>
        </w:numPr>
        <w:spacing w:after="0" w:line="276" w:lineRule="auto"/>
        <w:ind w:left="567"/>
        <w:jc w:val="both"/>
        <w:rPr>
          <w:rFonts w:eastAsia="Times New Roman" w:cs="Calibri"/>
          <w:bCs/>
          <w:sz w:val="24"/>
          <w:szCs w:val="24"/>
          <w:lang w:eastAsia="pl-PL"/>
        </w:rPr>
      </w:pPr>
      <w:r w:rsidRPr="00C0198D">
        <w:rPr>
          <w:rFonts w:eastAsia="Times New Roman" w:cs="Calibri"/>
          <w:bCs/>
          <w:sz w:val="24"/>
          <w:szCs w:val="24"/>
          <w:lang w:eastAsia="pl-PL"/>
        </w:rPr>
        <w:t>Szkoła Podstawowa im. Antoniego Peplińskiego w Kamienicy Szlacheckiej wchodząca w skład Zespołu Kształcenia i Wychowania w Kamienicy Szlacheckiej (ul. Długa 13, 83-323 Kamienica Szlachecka),</w:t>
      </w:r>
    </w:p>
    <w:p w14:paraId="7E456669" w14:textId="64A4DB75" w:rsidR="00C0198D" w:rsidRPr="00C0198D" w:rsidRDefault="00C0198D" w:rsidP="00C0198D">
      <w:pPr>
        <w:pStyle w:val="Akapitzlist"/>
        <w:numPr>
          <w:ilvl w:val="0"/>
          <w:numId w:val="5"/>
        </w:numPr>
        <w:spacing w:after="0" w:line="276" w:lineRule="auto"/>
        <w:ind w:left="567"/>
        <w:jc w:val="both"/>
        <w:rPr>
          <w:rFonts w:eastAsia="Times New Roman" w:cs="Calibri"/>
          <w:bCs/>
          <w:sz w:val="24"/>
          <w:szCs w:val="24"/>
          <w:lang w:eastAsia="pl-PL"/>
        </w:rPr>
      </w:pPr>
      <w:r w:rsidRPr="00C0198D">
        <w:rPr>
          <w:rFonts w:eastAsia="Times New Roman" w:cs="Calibri"/>
          <w:bCs/>
          <w:sz w:val="24"/>
          <w:szCs w:val="24"/>
          <w:lang w:eastAsia="pl-PL"/>
        </w:rPr>
        <w:t>Szkoła Podstawowa im. Jana Pawła II w Gołubiu wchodząca w skład Zespołu Kształcenia i Wychowania w Gołubiu (ul. Sambora II 17, 83-316 Gołubie).</w:t>
      </w:r>
    </w:p>
    <w:p w14:paraId="4901858B" w14:textId="4776D2E3" w:rsidR="00C0198D" w:rsidRDefault="00C0198D" w:rsidP="00C0198D">
      <w:pPr>
        <w:spacing w:after="0" w:line="276" w:lineRule="auto"/>
        <w:jc w:val="both"/>
        <w:rPr>
          <w:rFonts w:eastAsia="Times New Roman" w:cs="Calibri"/>
          <w:bCs/>
          <w:sz w:val="24"/>
          <w:szCs w:val="24"/>
          <w:lang w:eastAsia="pl-PL"/>
        </w:rPr>
      </w:pPr>
      <w:r w:rsidRPr="00C0198D">
        <w:rPr>
          <w:rFonts w:eastAsia="Times New Roman" w:cs="Calibri"/>
          <w:bCs/>
          <w:sz w:val="24"/>
          <w:szCs w:val="24"/>
          <w:lang w:eastAsia="pl-PL"/>
        </w:rPr>
        <w:t>oraz będzie wykorzystywany do prowadzenia zajęć w ramach ww. projektu.</w:t>
      </w:r>
    </w:p>
    <w:p w14:paraId="0B776CEB" w14:textId="26E3DE33" w:rsidR="008656E9" w:rsidRPr="008876FB" w:rsidRDefault="008656E9" w:rsidP="00C0198D">
      <w:pPr>
        <w:spacing w:before="240" w:after="0" w:line="276" w:lineRule="auto"/>
        <w:jc w:val="both"/>
        <w:rPr>
          <w:rFonts w:eastAsia="Times New Roman" w:cs="Calibri"/>
          <w:bCs/>
          <w:sz w:val="24"/>
          <w:szCs w:val="24"/>
          <w:lang w:eastAsia="pl-PL"/>
        </w:rPr>
      </w:pPr>
      <w:r w:rsidRPr="008876FB">
        <w:rPr>
          <w:rFonts w:eastAsia="Times New Roman" w:cs="Calibri"/>
          <w:bCs/>
          <w:sz w:val="24"/>
          <w:szCs w:val="24"/>
          <w:lang w:eastAsia="pl-PL"/>
        </w:rPr>
        <w:t>Sprzęt zaproponowany przez Wykonawcę powinien być objęty gwarancją przedstawioną w opisie przedmiotu zamówienia.</w:t>
      </w:r>
    </w:p>
    <w:p w14:paraId="1F2A1260" w14:textId="77777777" w:rsidR="00AD6719" w:rsidRDefault="00AD6719" w:rsidP="00AD6719">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Wszelkie urządzenia dostarczane przez Wykonawcę w ramach realizacji przedmiotu zamówienia powinny być fabrycznie nowe, nieużywane, sprawne technicznie, bez wad fizycznych i prawnych. Wszystkie urządzenia wchodzące w skład przedmiotu zamówienia </w:t>
      </w:r>
      <w:r w:rsidRPr="002A6C58">
        <w:rPr>
          <w:rFonts w:eastAsia="Times New Roman" w:cs="Calibri"/>
          <w:bCs/>
          <w:sz w:val="24"/>
          <w:szCs w:val="24"/>
          <w:lang w:eastAsia="pl-PL"/>
        </w:rPr>
        <w:lastRenderedPageBreak/>
        <w:t>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2C0FBBED" w14:textId="77777777" w:rsidR="00AD6719" w:rsidRPr="00574178" w:rsidRDefault="00AD6719" w:rsidP="00AD6719">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A93EC6"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61DA1D4D"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07A2F80E"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prostota i intuicyjność w użyciu,</w:t>
      </w:r>
    </w:p>
    <w:p w14:paraId="1212E5D7"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A0817C8"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23855A14"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4DDD8602" w14:textId="77777777" w:rsidR="00AD6719"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466AE546" w14:textId="77777777" w:rsidR="00AD6719" w:rsidRPr="00574178" w:rsidRDefault="00AD6719" w:rsidP="00C0198D">
      <w:pPr>
        <w:pStyle w:val="Akapitzlist"/>
        <w:numPr>
          <w:ilvl w:val="0"/>
          <w:numId w:val="4"/>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0DEA9383"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7B29BD56"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0B5187A7" w14:textId="77777777" w:rsidR="00AD6719" w:rsidRPr="002A6C58" w:rsidRDefault="00AD6719" w:rsidP="00C0198D">
      <w:pPr>
        <w:pStyle w:val="Akapitzlist"/>
        <w:numPr>
          <w:ilvl w:val="0"/>
          <w:numId w:val="3"/>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51CDCB70" w14:textId="77777777" w:rsidR="00AD6719" w:rsidRPr="002A6C58" w:rsidRDefault="00AD6719" w:rsidP="00C0198D">
      <w:pPr>
        <w:pStyle w:val="Akapitzlist"/>
        <w:numPr>
          <w:ilvl w:val="0"/>
          <w:numId w:val="3"/>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t>
      </w:r>
      <w:r w:rsidRPr="002A6C58">
        <w:rPr>
          <w:rFonts w:eastAsia="Times New Roman" w:cs="Calibri"/>
          <w:bCs/>
          <w:sz w:val="24"/>
          <w:szCs w:val="24"/>
          <w:lang w:eastAsia="pl-PL"/>
        </w:rPr>
        <w:lastRenderedPageBreak/>
        <w:t>wskazanymi odniesieniami Zamawiający po przedmiotowym wskazaniu dodaje sformułowanie „lub równoważne”</w:t>
      </w:r>
      <w:r>
        <w:rPr>
          <w:rFonts w:eastAsia="Times New Roman" w:cs="Calibri"/>
          <w:bCs/>
          <w:sz w:val="24"/>
          <w:szCs w:val="24"/>
          <w:lang w:eastAsia="pl-PL"/>
        </w:rPr>
        <w:t>.</w:t>
      </w:r>
    </w:p>
    <w:p w14:paraId="5F026340" w14:textId="77777777" w:rsidR="00AD6719" w:rsidRPr="002A6C58" w:rsidRDefault="00AD6719" w:rsidP="00C0198D">
      <w:pPr>
        <w:pStyle w:val="Akapitzlist"/>
        <w:numPr>
          <w:ilvl w:val="0"/>
          <w:numId w:val="3"/>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Pr>
          <w:rFonts w:eastAsia="Times New Roman" w:cs="Calibri"/>
          <w:bCs/>
          <w:sz w:val="24"/>
          <w:szCs w:val="24"/>
          <w:lang w:eastAsia="pl-PL"/>
        </w:rPr>
        <w:t>.</w:t>
      </w:r>
    </w:p>
    <w:p w14:paraId="554095DF" w14:textId="414CC7AC" w:rsidR="00955BE8" w:rsidRDefault="00AD6719" w:rsidP="00C0198D">
      <w:pPr>
        <w:pStyle w:val="Akapitzlist"/>
        <w:numPr>
          <w:ilvl w:val="0"/>
          <w:numId w:val="3"/>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zamówienia, co winno zostać wykazane na etapie składania oferty zawierających elementy równoważne</w:t>
      </w:r>
      <w:r>
        <w:rPr>
          <w:rFonts w:eastAsia="Times New Roman" w:cs="Calibri"/>
          <w:bCs/>
          <w:sz w:val="24"/>
          <w:szCs w:val="24"/>
          <w:lang w:eastAsia="pl-PL"/>
        </w:rPr>
        <w:t>.</w:t>
      </w:r>
    </w:p>
    <w:tbl>
      <w:tblPr>
        <w:tblW w:w="9062" w:type="dxa"/>
        <w:tblCellMar>
          <w:left w:w="10" w:type="dxa"/>
          <w:right w:w="10" w:type="dxa"/>
        </w:tblCellMar>
        <w:tblLook w:val="0000" w:firstRow="0" w:lastRow="0" w:firstColumn="0" w:lastColumn="0" w:noHBand="0" w:noVBand="0"/>
      </w:tblPr>
      <w:tblGrid>
        <w:gridCol w:w="2263"/>
        <w:gridCol w:w="6799"/>
      </w:tblGrid>
      <w:tr w:rsidR="00154D05" w:rsidRPr="00955BE8" w14:paraId="1F93786B" w14:textId="77777777" w:rsidTr="00B739B6">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6BFC" w14:textId="0428898A" w:rsidR="00154D05" w:rsidRPr="00955BE8" w:rsidRDefault="00154D05" w:rsidP="00B739B6">
            <w:pPr>
              <w:pStyle w:val="Normalny1"/>
              <w:spacing w:after="0" w:line="240" w:lineRule="auto"/>
              <w:jc w:val="center"/>
              <w:rPr>
                <w:rFonts w:asciiTheme="minorHAnsi" w:hAnsiTheme="minorHAnsi" w:cs="Calibri"/>
                <w:b/>
                <w:bCs/>
              </w:rPr>
            </w:pPr>
            <w:r w:rsidRPr="00955BE8">
              <w:rPr>
                <w:rFonts w:asciiTheme="minorHAnsi" w:hAnsiTheme="minorHAnsi" w:cs="Calibri"/>
                <w:b/>
                <w:bCs/>
              </w:rPr>
              <w:t>Monitor interaktywny –</w:t>
            </w:r>
            <w:r w:rsidRPr="00955BE8">
              <w:rPr>
                <w:rFonts w:asciiTheme="minorHAnsi" w:hAnsiTheme="minorHAnsi" w:cs="Calibri"/>
                <w:b/>
                <w:bCs/>
                <w:color w:val="000000" w:themeColor="text1"/>
              </w:rPr>
              <w:t>8</w:t>
            </w:r>
            <w:r w:rsidRPr="00955BE8">
              <w:rPr>
                <w:rFonts w:asciiTheme="minorHAnsi" w:hAnsiTheme="minorHAnsi" w:cs="Calibri"/>
                <w:b/>
                <w:bCs/>
              </w:rPr>
              <w:t xml:space="preserve"> sztuk</w:t>
            </w:r>
          </w:p>
        </w:tc>
      </w:tr>
      <w:tr w:rsidR="00154D05" w:rsidRPr="00955BE8" w14:paraId="280866CA"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7F5A7D" w14:textId="77777777" w:rsidR="00154D05" w:rsidRPr="00955BE8" w:rsidRDefault="00154D05" w:rsidP="00B739B6">
            <w:pPr>
              <w:pStyle w:val="Normalny1"/>
              <w:spacing w:after="0" w:line="240" w:lineRule="auto"/>
              <w:rPr>
                <w:rFonts w:asciiTheme="minorHAnsi" w:hAnsiTheme="minorHAnsi" w:cs="Calibri"/>
              </w:rPr>
            </w:pPr>
            <w:r w:rsidRPr="00955BE8">
              <w:rPr>
                <w:rFonts w:asciiTheme="minorHAnsi" w:hAnsiTheme="minorHAnsi"/>
              </w:rPr>
              <w:t>Przekątna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BF6166" w14:textId="77777777" w:rsidR="00154D05" w:rsidRPr="00955BE8" w:rsidRDefault="00154D05" w:rsidP="00B739B6">
            <w:pPr>
              <w:pStyle w:val="Normalny1"/>
              <w:spacing w:after="0" w:line="240" w:lineRule="auto"/>
              <w:jc w:val="both"/>
              <w:rPr>
                <w:rFonts w:asciiTheme="minorHAnsi" w:eastAsia="Times New Roman" w:hAnsiTheme="minorHAnsi" w:cs="Calibri"/>
                <w:color w:val="000000"/>
              </w:rPr>
            </w:pPr>
            <w:r w:rsidRPr="00955BE8">
              <w:rPr>
                <w:rFonts w:asciiTheme="minorHAnsi" w:hAnsiTheme="minorHAnsi" w:cstheme="minorHAnsi"/>
              </w:rPr>
              <w:t>Min. 75"</w:t>
            </w:r>
          </w:p>
        </w:tc>
      </w:tr>
      <w:tr w:rsidR="00154D05" w:rsidRPr="00955BE8" w14:paraId="0CB43F9F"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5C1A0A" w14:textId="77777777" w:rsidR="00154D05" w:rsidRPr="00955BE8" w:rsidRDefault="00154D05" w:rsidP="00B739B6">
            <w:pPr>
              <w:pStyle w:val="Normalny1"/>
              <w:spacing w:after="0" w:line="240" w:lineRule="auto"/>
              <w:rPr>
                <w:rFonts w:asciiTheme="minorHAnsi" w:hAnsiTheme="minorHAnsi" w:cs="Calibri"/>
              </w:rPr>
            </w:pPr>
            <w:r w:rsidRPr="00955BE8">
              <w:rPr>
                <w:rFonts w:asciiTheme="minorHAnsi" w:hAnsiTheme="minorHAnsi"/>
              </w:rPr>
              <w:t>Rozdzielczość nominalna: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5FD67D" w14:textId="77777777" w:rsidR="00154D05" w:rsidRPr="00955BE8" w:rsidRDefault="00154D05" w:rsidP="00B739B6">
            <w:pPr>
              <w:pStyle w:val="Normalny1"/>
              <w:spacing w:after="0" w:line="240" w:lineRule="auto"/>
              <w:jc w:val="both"/>
              <w:rPr>
                <w:rFonts w:asciiTheme="minorHAnsi" w:eastAsia="Times New Roman" w:hAnsiTheme="minorHAnsi" w:cs="Calibri"/>
                <w:color w:val="000000"/>
                <w:lang w:val="en-US"/>
              </w:rPr>
            </w:pPr>
            <w:r w:rsidRPr="00955BE8">
              <w:rPr>
                <w:rFonts w:asciiTheme="minorHAnsi" w:hAnsiTheme="minorHAnsi"/>
              </w:rPr>
              <w:t xml:space="preserve">3840 x 2160 </w:t>
            </w:r>
            <w:proofErr w:type="spellStart"/>
            <w:r w:rsidRPr="00955BE8">
              <w:rPr>
                <w:rFonts w:asciiTheme="minorHAnsi" w:hAnsiTheme="minorHAnsi"/>
              </w:rPr>
              <w:t>px</w:t>
            </w:r>
            <w:proofErr w:type="spellEnd"/>
            <w:r w:rsidRPr="00955BE8">
              <w:rPr>
                <w:rFonts w:asciiTheme="minorHAnsi" w:hAnsiTheme="minorHAnsi"/>
              </w:rPr>
              <w:t xml:space="preserve"> -4K UHD</w:t>
            </w:r>
          </w:p>
        </w:tc>
      </w:tr>
      <w:tr w:rsidR="00955BE8" w:rsidRPr="00955BE8" w14:paraId="78061AC7" w14:textId="77777777" w:rsidTr="002911D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ACD92DA" w14:textId="548424E0"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Kontrast statyczny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B877E53" w14:textId="6C879A69"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Minimum 4000:1</w:t>
            </w:r>
          </w:p>
        </w:tc>
      </w:tr>
      <w:tr w:rsidR="00955BE8" w:rsidRPr="00955BE8" w14:paraId="358AADB9" w14:textId="77777777" w:rsidTr="002911D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594830" w14:textId="293BA3B5"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Jasność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333BD1" w14:textId="70043071"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Minimum 430cd</w:t>
            </w:r>
          </w:p>
        </w:tc>
      </w:tr>
      <w:tr w:rsidR="00955BE8" w:rsidRPr="00955BE8" w14:paraId="6FAAA320"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C0DF1C" w14:textId="6BC34926" w:rsidR="00955BE8" w:rsidRPr="00955BE8" w:rsidRDefault="00955BE8" w:rsidP="00955BE8">
            <w:pPr>
              <w:pStyle w:val="Normalny1"/>
              <w:spacing w:after="0" w:line="240" w:lineRule="auto"/>
              <w:rPr>
                <w:rFonts w:asciiTheme="minorHAnsi" w:hAnsiTheme="minorHAnsi"/>
              </w:rPr>
            </w:pPr>
            <w:r w:rsidRPr="00955BE8">
              <w:rPr>
                <w:rFonts w:asciiTheme="minorHAnsi" w:hAnsiTheme="minorHAnsi"/>
              </w:rPr>
              <w:t>Czas pracy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3C2D83" w14:textId="3DDA1870"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Przystosowany do pracy 24/7</w:t>
            </w:r>
          </w:p>
        </w:tc>
      </w:tr>
      <w:tr w:rsidR="00955BE8" w:rsidRPr="00955BE8" w14:paraId="3462C6CD"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9F971CD" w14:textId="77777777" w:rsidR="00955BE8" w:rsidRPr="00955BE8" w:rsidRDefault="00955BE8" w:rsidP="00955BE8">
            <w:pPr>
              <w:pStyle w:val="Normalny1"/>
              <w:spacing w:after="0" w:line="240" w:lineRule="auto"/>
              <w:rPr>
                <w:rFonts w:asciiTheme="minorHAnsi" w:hAnsiTheme="minorHAnsi" w:cs="Calibri"/>
              </w:rPr>
            </w:pPr>
            <w:r w:rsidRPr="00955BE8">
              <w:rPr>
                <w:rFonts w:asciiTheme="minorHAnsi" w:hAnsiTheme="minorHAnsi"/>
              </w:rPr>
              <w:t>Proporcje ekranu:</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8FCAC4" w14:textId="77777777" w:rsidR="00955BE8" w:rsidRPr="00955BE8" w:rsidRDefault="00955BE8" w:rsidP="00955BE8">
            <w:pPr>
              <w:pStyle w:val="Normalny1"/>
              <w:spacing w:after="0" w:line="240" w:lineRule="auto"/>
              <w:jc w:val="both"/>
              <w:rPr>
                <w:rFonts w:asciiTheme="minorHAnsi" w:hAnsiTheme="minorHAnsi" w:cs="Calibri"/>
                <w:lang w:val="en-US"/>
              </w:rPr>
            </w:pPr>
            <w:r w:rsidRPr="00955BE8">
              <w:rPr>
                <w:rFonts w:asciiTheme="minorHAnsi" w:hAnsiTheme="minorHAnsi"/>
              </w:rPr>
              <w:t>16 : 9</w:t>
            </w:r>
          </w:p>
        </w:tc>
      </w:tr>
      <w:tr w:rsidR="00955BE8" w:rsidRPr="00955BE8" w14:paraId="27A93B1F"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717B37" w14:textId="77777777" w:rsidR="00955BE8" w:rsidRPr="00955BE8" w:rsidRDefault="00955BE8" w:rsidP="00955BE8">
            <w:pPr>
              <w:pStyle w:val="Normalny1"/>
              <w:spacing w:after="0" w:line="240" w:lineRule="auto"/>
              <w:rPr>
                <w:rFonts w:asciiTheme="minorHAnsi" w:hAnsiTheme="minorHAnsi" w:cs="Calibri"/>
              </w:rPr>
            </w:pPr>
            <w:r w:rsidRPr="00955BE8">
              <w:rPr>
                <w:rFonts w:asciiTheme="minorHAnsi" w:hAnsiTheme="minorHAnsi"/>
              </w:rPr>
              <w:t>Typ matrycy: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90D787" w14:textId="77777777" w:rsidR="00955BE8" w:rsidRPr="00955BE8" w:rsidRDefault="00955BE8" w:rsidP="00955BE8">
            <w:pPr>
              <w:spacing w:after="0"/>
            </w:pPr>
            <w:r w:rsidRPr="00955BE8">
              <w:t>LED – powłoka antyrefleksyjna</w:t>
            </w:r>
          </w:p>
        </w:tc>
      </w:tr>
      <w:tr w:rsidR="00955BE8" w:rsidRPr="00955BE8" w14:paraId="4D28B56A"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4DEF60" w14:textId="77777777" w:rsidR="00955BE8" w:rsidRPr="00955BE8" w:rsidRDefault="00955BE8" w:rsidP="00955BE8">
            <w:pPr>
              <w:pStyle w:val="Normalny1"/>
              <w:spacing w:after="0" w:line="240" w:lineRule="auto"/>
              <w:rPr>
                <w:rFonts w:asciiTheme="minorHAnsi" w:hAnsiTheme="minorHAnsi" w:cstheme="minorHAnsi"/>
              </w:rPr>
            </w:pPr>
            <w:r w:rsidRPr="00955BE8">
              <w:rPr>
                <w:rFonts w:asciiTheme="minorHAnsi" w:hAnsiTheme="minorHAnsi"/>
              </w:rPr>
              <w:t>Interfejsy i 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2E50AEC" w14:textId="77777777" w:rsidR="00955BE8" w:rsidRPr="00955BE8" w:rsidRDefault="00955BE8" w:rsidP="00955BE8">
            <w:pPr>
              <w:spacing w:after="0"/>
            </w:pPr>
            <w:r w:rsidRPr="00955BE8">
              <w:t>Min. 4 x USB typu A</w:t>
            </w:r>
          </w:p>
          <w:p w14:paraId="47E0B96E" w14:textId="77777777" w:rsidR="00955BE8" w:rsidRPr="00955BE8" w:rsidRDefault="00955BE8" w:rsidP="00955BE8">
            <w:pPr>
              <w:spacing w:after="0"/>
            </w:pPr>
            <w:r w:rsidRPr="00955BE8">
              <w:t>Min. 1 x USB typu C</w:t>
            </w:r>
          </w:p>
          <w:p w14:paraId="1336858F" w14:textId="77777777" w:rsidR="00955BE8" w:rsidRPr="00955BE8" w:rsidRDefault="00955BE8" w:rsidP="00955BE8">
            <w:pPr>
              <w:spacing w:after="0"/>
              <w:rPr>
                <w:lang w:val="en-US"/>
              </w:rPr>
            </w:pPr>
            <w:r w:rsidRPr="00955BE8">
              <w:rPr>
                <w:lang w:val="en-US"/>
              </w:rPr>
              <w:t>Min. 1 x RJ 45</w:t>
            </w:r>
          </w:p>
          <w:p w14:paraId="2DAE7533" w14:textId="77777777" w:rsidR="00955BE8" w:rsidRPr="00955BE8" w:rsidRDefault="00955BE8" w:rsidP="00955BE8">
            <w:pPr>
              <w:spacing w:after="0"/>
              <w:rPr>
                <w:lang w:val="en-US"/>
              </w:rPr>
            </w:pPr>
            <w:r w:rsidRPr="00955BE8">
              <w:rPr>
                <w:lang w:val="en-US"/>
              </w:rPr>
              <w:t>1 x RS-232</w:t>
            </w:r>
          </w:p>
          <w:p w14:paraId="18D2EC7D" w14:textId="77777777" w:rsidR="00955BE8" w:rsidRPr="00955BE8" w:rsidRDefault="00955BE8" w:rsidP="00955BE8">
            <w:pPr>
              <w:spacing w:after="0"/>
              <w:rPr>
                <w:lang w:val="en-US"/>
              </w:rPr>
            </w:pPr>
            <w:r w:rsidRPr="00955BE8">
              <w:rPr>
                <w:lang w:val="en-US"/>
              </w:rPr>
              <w:t>Min. 3 X HDMI</w:t>
            </w:r>
          </w:p>
          <w:p w14:paraId="6EC72B68" w14:textId="77777777" w:rsidR="00955BE8" w:rsidRPr="00955BE8" w:rsidRDefault="00955BE8" w:rsidP="00955BE8">
            <w:pPr>
              <w:spacing w:after="0"/>
              <w:rPr>
                <w:lang w:val="en-US"/>
              </w:rPr>
            </w:pPr>
            <w:r w:rsidRPr="00955BE8">
              <w:rPr>
                <w:lang w:val="en-US"/>
              </w:rPr>
              <w:t>1XAudio (Jack stereo) – 3.5mm</w:t>
            </w:r>
          </w:p>
          <w:p w14:paraId="69D9373B" w14:textId="77777777" w:rsidR="00955BE8" w:rsidRPr="00955BE8" w:rsidRDefault="00955BE8" w:rsidP="00955BE8">
            <w:pPr>
              <w:spacing w:after="0"/>
            </w:pPr>
            <w:r w:rsidRPr="00955BE8">
              <w:t>1x zasilanie</w:t>
            </w:r>
          </w:p>
        </w:tc>
      </w:tr>
      <w:tr w:rsidR="00955BE8" w:rsidRPr="00955BE8" w14:paraId="769F81B4"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C47B53" w14:textId="77777777" w:rsidR="00955BE8" w:rsidRPr="00955BE8" w:rsidRDefault="00955BE8" w:rsidP="00955BE8">
            <w:pPr>
              <w:pStyle w:val="Normalny1"/>
              <w:spacing w:after="0" w:line="240" w:lineRule="auto"/>
              <w:rPr>
                <w:rFonts w:asciiTheme="minorHAnsi" w:hAnsiTheme="minorHAnsi" w:cstheme="minorHAnsi"/>
              </w:rPr>
            </w:pPr>
            <w:r w:rsidRPr="00955BE8">
              <w:rPr>
                <w:rFonts w:asciiTheme="minorHAnsi" w:eastAsia="Times New Roman" w:hAnsiTheme="minorHAnsi" w:cstheme="minorHAns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BBF47E" w14:textId="77777777" w:rsidR="00955BE8" w:rsidRPr="00955BE8" w:rsidRDefault="00955BE8" w:rsidP="00955BE8">
            <w:pPr>
              <w:pStyle w:val="Normalny1"/>
              <w:spacing w:after="0" w:line="240" w:lineRule="auto"/>
              <w:jc w:val="both"/>
              <w:rPr>
                <w:rFonts w:asciiTheme="minorHAnsi" w:hAnsiTheme="minorHAnsi" w:cstheme="minorHAnsi"/>
                <w:lang w:val="en-US"/>
              </w:rPr>
            </w:pPr>
            <w:r w:rsidRPr="00955BE8">
              <w:rPr>
                <w:rFonts w:asciiTheme="minorHAnsi" w:eastAsia="Times New Roman" w:hAnsiTheme="minorHAnsi" w:cstheme="minorHAnsi"/>
                <w:bCs/>
                <w:lang w:eastAsia="pl-PL"/>
              </w:rPr>
              <w:t>zasilacz i kabel</w:t>
            </w:r>
          </w:p>
        </w:tc>
      </w:tr>
      <w:tr w:rsidR="00955BE8" w:rsidRPr="00955BE8" w14:paraId="31092DCC"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3FC0DD"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System operacyjny: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D6BC79" w14:textId="74E0DDE6" w:rsidR="00955BE8" w:rsidRPr="00955BE8" w:rsidRDefault="00955BE8" w:rsidP="00955BE8">
            <w:pPr>
              <w:pStyle w:val="Normalny1"/>
              <w:spacing w:after="0" w:line="240" w:lineRule="auto"/>
              <w:jc w:val="both"/>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Android wersja min. 13 pozwalający na bezprzewodowe łączenie z urządzeniami Windows/Android</w:t>
            </w:r>
          </w:p>
        </w:tc>
      </w:tr>
      <w:tr w:rsidR="00955BE8" w:rsidRPr="00955BE8" w14:paraId="68471333"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2EBBA8"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Wifi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0E0A28" w14:textId="77777777" w:rsidR="00955BE8" w:rsidRPr="00955BE8" w:rsidRDefault="00955BE8" w:rsidP="00955BE8">
            <w:pPr>
              <w:spacing w:after="0"/>
            </w:pPr>
            <w:r w:rsidRPr="00955BE8">
              <w:t>Wbudowany w monitor moduł Wi-Fi 6</w:t>
            </w:r>
          </w:p>
          <w:p w14:paraId="50264C39" w14:textId="0F64CB7A" w:rsidR="00955BE8" w:rsidRPr="00955BE8" w:rsidRDefault="00955BE8" w:rsidP="00955BE8">
            <w:pPr>
              <w:spacing w:after="0"/>
            </w:pPr>
            <w:r w:rsidRPr="00955BE8">
              <w:t>Dwuzakresowy moduł Wi-Fi 2.4 GHz / 5 GHz,</w:t>
            </w:r>
          </w:p>
        </w:tc>
      </w:tr>
      <w:tr w:rsidR="00955BE8" w:rsidRPr="00955BE8" w14:paraId="7AA5ED5B"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5E41844" w14:textId="3837B088"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hAnsiTheme="minorHAnsi"/>
              </w:rPr>
              <w:t>Czujniki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A83BAE7" w14:textId="1D133F22" w:rsidR="00955BE8" w:rsidRPr="00955BE8" w:rsidRDefault="00955BE8" w:rsidP="00955BE8">
            <w:pPr>
              <w:spacing w:after="0"/>
            </w:pPr>
            <w:r w:rsidRPr="00955BE8">
              <w:t>Czujnik natężenia światła</w:t>
            </w:r>
          </w:p>
        </w:tc>
      </w:tr>
      <w:tr w:rsidR="00955BE8" w:rsidRPr="00955BE8" w14:paraId="109BA0D4"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9B88C55"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Kamera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EC5593" w14:textId="0D7DD5A0" w:rsidR="00955BE8" w:rsidRPr="00955BE8" w:rsidRDefault="00955BE8" w:rsidP="00955BE8">
            <w:pPr>
              <w:spacing w:after="0"/>
            </w:pPr>
            <w:r w:rsidRPr="00955BE8">
              <w:t xml:space="preserve">Zewnętrzna lub wbudowana Kamera: 5Mpx, 1920x1080 (kamera ma zawierać pilot oraz funkcję automatycznego kadrowania AI) </w:t>
            </w:r>
          </w:p>
        </w:tc>
      </w:tr>
      <w:tr w:rsidR="00955BE8" w:rsidRPr="00955BE8" w14:paraId="1079FBAD"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FDCDE2" w14:textId="2C715965"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t>Mikrofon</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9D02076" w14:textId="137F44B9" w:rsidR="00955BE8" w:rsidRPr="00955BE8" w:rsidRDefault="00955BE8" w:rsidP="00955BE8">
            <w:pPr>
              <w:spacing w:after="0"/>
            </w:pPr>
            <w:r w:rsidRPr="00955BE8">
              <w:t xml:space="preserve">Wbudowany w obudowę monitora mikrofon matrycowy zawierający minimum 6 mikrofonów. </w:t>
            </w:r>
          </w:p>
        </w:tc>
      </w:tr>
      <w:tr w:rsidR="00955BE8" w:rsidRPr="00955BE8" w14:paraId="1B1EBC61"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D758FE0"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r w:rsidRPr="00955BE8">
              <w:rPr>
                <w:rFonts w:asciiTheme="minorHAnsi" w:eastAsia="Times New Roman" w:hAnsiTheme="minorHAnsi" w:cstheme="minorHAnsi"/>
                <w:bCs/>
                <w:lang w:eastAsia="pl-PL"/>
              </w:rPr>
              <w:lastRenderedPageBreak/>
              <w:t>Bluetooth</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1D5A51" w14:textId="22312796" w:rsidR="00955BE8" w:rsidRPr="00955BE8" w:rsidRDefault="00955BE8" w:rsidP="00955BE8">
            <w:pPr>
              <w:pStyle w:val="Normalny1"/>
              <w:spacing w:after="0" w:line="240" w:lineRule="auto"/>
              <w:jc w:val="both"/>
              <w:rPr>
                <w:rFonts w:asciiTheme="minorHAnsi" w:hAnsiTheme="minorHAnsi"/>
              </w:rPr>
            </w:pPr>
            <w:r w:rsidRPr="00955BE8">
              <w:rPr>
                <w:rFonts w:asciiTheme="minorHAnsi" w:hAnsiTheme="minorHAnsi"/>
              </w:rPr>
              <w:t>tak</w:t>
            </w:r>
          </w:p>
        </w:tc>
      </w:tr>
      <w:tr w:rsidR="00955BE8" w:rsidRPr="00955BE8" w14:paraId="151091CE"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2D9EBF" w14:textId="77777777" w:rsidR="00955BE8" w:rsidRPr="00955BE8" w:rsidRDefault="00955BE8" w:rsidP="00955BE8">
            <w:pPr>
              <w:spacing w:after="0"/>
            </w:pPr>
            <w:r w:rsidRPr="00955BE8">
              <w:t>W zestawie:</w:t>
            </w:r>
          </w:p>
          <w:p w14:paraId="422FC021" w14:textId="77777777" w:rsidR="00955BE8" w:rsidRPr="00955BE8" w:rsidRDefault="00955BE8" w:rsidP="00955BE8">
            <w:pPr>
              <w:pStyle w:val="Normalny1"/>
              <w:spacing w:after="0" w:line="240" w:lineRule="auto"/>
              <w:rPr>
                <w:rFonts w:asciiTheme="minorHAnsi" w:eastAsia="Times New Roman" w:hAnsiTheme="minorHAnsi" w:cstheme="minorHAnsi"/>
                <w:bCs/>
                <w:lang w:eastAsia="pl-PL"/>
              </w:rPr>
            </w:pP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EA9B6A" w14:textId="77777777" w:rsidR="00955BE8" w:rsidRPr="00955BE8" w:rsidRDefault="00955BE8" w:rsidP="00955BE8">
            <w:pPr>
              <w:spacing w:after="0"/>
            </w:pPr>
            <w:r w:rsidRPr="00955BE8">
              <w:t xml:space="preserve">- Mobilny stojak dostosowany do rozmiaru, wagi oraz standardu mocowania </w:t>
            </w:r>
            <w:r w:rsidRPr="00955BE8">
              <w:br/>
              <w:t>monitora</w:t>
            </w:r>
          </w:p>
          <w:p w14:paraId="0F58FACA" w14:textId="77777777" w:rsidR="00955BE8" w:rsidRPr="00955BE8" w:rsidRDefault="00955BE8" w:rsidP="00955BE8">
            <w:pPr>
              <w:spacing w:after="0"/>
            </w:pPr>
            <w:r w:rsidRPr="00955BE8">
              <w:t>-pilot zdalnego sterowania,</w:t>
            </w:r>
          </w:p>
          <w:p w14:paraId="6399E395" w14:textId="77777777" w:rsidR="00955BE8" w:rsidRPr="00955BE8" w:rsidRDefault="00955BE8" w:rsidP="00955BE8">
            <w:pPr>
              <w:spacing w:after="0"/>
            </w:pPr>
            <w:r w:rsidRPr="00955BE8">
              <w:t xml:space="preserve"> -min. 2x rysik</w:t>
            </w:r>
          </w:p>
          <w:p w14:paraId="21BCC0EB" w14:textId="77777777" w:rsidR="00955BE8" w:rsidRPr="00955BE8" w:rsidRDefault="00955BE8" w:rsidP="00955BE8">
            <w:pPr>
              <w:spacing w:after="0"/>
            </w:pPr>
            <w:r w:rsidRPr="00955BE8">
              <w:t>-kabel HDMI</w:t>
            </w:r>
          </w:p>
          <w:p w14:paraId="6141BF86" w14:textId="77777777" w:rsidR="00955BE8" w:rsidRPr="00955BE8" w:rsidRDefault="00955BE8" w:rsidP="00955BE8">
            <w:pPr>
              <w:spacing w:after="0"/>
            </w:pPr>
            <w:r w:rsidRPr="00955BE8">
              <w:t>-kabel USB</w:t>
            </w:r>
          </w:p>
          <w:p w14:paraId="325D74D0" w14:textId="77777777" w:rsidR="00955BE8" w:rsidRPr="00955BE8" w:rsidRDefault="00955BE8" w:rsidP="00955BE8">
            <w:pPr>
              <w:spacing w:after="0"/>
            </w:pPr>
            <w:r w:rsidRPr="00955BE8">
              <w:t>-kąty widzenia: 178 stopni w poziomie 178 stopni w pionie</w:t>
            </w:r>
          </w:p>
          <w:p w14:paraId="46571013" w14:textId="26474AA4" w:rsidR="00955BE8" w:rsidRPr="00955BE8" w:rsidRDefault="00955BE8" w:rsidP="00955BE8">
            <w:pPr>
              <w:spacing w:after="0"/>
            </w:pPr>
            <w:r w:rsidRPr="00955BE8">
              <w:t>-wbudowane głośniki: min. 2 x 20W</w:t>
            </w:r>
          </w:p>
        </w:tc>
      </w:tr>
      <w:tr w:rsidR="00955BE8" w:rsidRPr="00955BE8" w14:paraId="67293211"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B64AB4" w14:textId="77777777" w:rsidR="00955BE8" w:rsidRPr="00955BE8" w:rsidRDefault="00955BE8" w:rsidP="00955BE8">
            <w:pPr>
              <w:spacing w:after="0"/>
            </w:pPr>
            <w:r w:rsidRPr="00955BE8">
              <w:rPr>
                <w:rFonts w:eastAsia="Times New Roman" w:cstheme="minorHAnsi"/>
                <w:bCs/>
                <w:lang w:eastAsia="pl-PL"/>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5C9E13" w14:textId="77777777" w:rsidR="00955BE8" w:rsidRPr="00955BE8" w:rsidRDefault="00955BE8" w:rsidP="00955BE8">
            <w:pPr>
              <w:spacing w:after="0"/>
            </w:pPr>
            <w:r w:rsidRPr="00955BE8">
              <w:rPr>
                <w:rFonts w:eastAsia="Times New Roman" w:cs="Calibri"/>
                <w:color w:val="000000"/>
              </w:rPr>
              <w:t xml:space="preserve">Min. 3 letnia gwarancja producenta typu „Door to door” </w:t>
            </w:r>
          </w:p>
        </w:tc>
      </w:tr>
      <w:tr w:rsidR="00955BE8" w:rsidRPr="00955BE8" w14:paraId="4B192717"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02EF9C" w14:textId="71DBC039" w:rsidR="00955BE8" w:rsidRPr="00955BE8" w:rsidRDefault="00955BE8" w:rsidP="00955BE8">
            <w:pPr>
              <w:spacing w:after="0"/>
              <w:rPr>
                <w:rFonts w:eastAsia="Times New Roman" w:cstheme="minorHAnsi"/>
                <w:bCs/>
                <w:lang w:eastAsia="pl-PL"/>
              </w:rPr>
            </w:pPr>
            <w:r w:rsidRPr="00955BE8">
              <w:rPr>
                <w:rFonts w:eastAsia="Times New Roman" w:cstheme="minorHAnsi"/>
                <w:bCs/>
                <w:lang w:eastAsia="pl-PL"/>
              </w:rPr>
              <w:t>Certyfikaty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AF1083" w14:textId="2E9D489B" w:rsidR="00955BE8" w:rsidRPr="00955BE8" w:rsidRDefault="00955BE8" w:rsidP="00955BE8">
            <w:pPr>
              <w:spacing w:after="0"/>
              <w:rPr>
                <w:rFonts w:eastAsia="Times New Roman" w:cs="Calibri"/>
                <w:color w:val="000000"/>
              </w:rPr>
            </w:pPr>
            <w:r w:rsidRPr="00955BE8">
              <w:rPr>
                <w:rFonts w:eastAsia="Times New Roman" w:cstheme="minorHAnsi"/>
                <w:bCs/>
                <w:lang w:eastAsia="pl-PL"/>
              </w:rPr>
              <w:t>GOOGLE EDLA – potwierdzony na stronie producenta monitora, CE</w:t>
            </w:r>
          </w:p>
        </w:tc>
      </w:tr>
      <w:tr w:rsidR="009D4C68" w:rsidRPr="00955BE8" w14:paraId="76C8E77C" w14:textId="77777777" w:rsidTr="00B739B6">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EB45D4" w14:textId="753B54F5" w:rsidR="009D4C68" w:rsidRPr="00955BE8" w:rsidRDefault="009D4C68" w:rsidP="00955BE8">
            <w:pPr>
              <w:spacing w:after="0"/>
              <w:rPr>
                <w:rFonts w:eastAsia="Times New Roman" w:cstheme="minorHAnsi"/>
                <w:bCs/>
                <w:lang w:eastAsia="pl-PL"/>
              </w:rPr>
            </w:pPr>
            <w:r>
              <w:rPr>
                <w:rFonts w:eastAsia="Times New Roman" w:cstheme="minorHAnsi"/>
                <w:bCs/>
                <w:lang w:eastAsia="pl-PL"/>
              </w:rPr>
              <w:t>Informacje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AE2B865" w14:textId="2F780825" w:rsidR="009D4C68" w:rsidRPr="00955BE8" w:rsidRDefault="009D4C68" w:rsidP="00955BE8">
            <w:pPr>
              <w:spacing w:after="0"/>
              <w:rPr>
                <w:rFonts w:eastAsia="Times New Roman" w:cstheme="minorHAnsi"/>
                <w:bCs/>
                <w:lang w:eastAsia="pl-PL"/>
              </w:rPr>
            </w:pPr>
            <w:r>
              <w:rPr>
                <w:rFonts w:eastAsia="Times New Roman" w:cstheme="minorHAnsi"/>
                <w:bCs/>
                <w:lang w:eastAsia="pl-PL"/>
              </w:rPr>
              <w:t xml:space="preserve">Monitor  powinien posiadać </w:t>
            </w:r>
            <w:r w:rsidRPr="009D4C68">
              <w:rPr>
                <w:rFonts w:eastAsia="Times New Roman" w:cstheme="minorHAnsi"/>
                <w:bCs/>
                <w:lang w:eastAsia="pl-PL"/>
              </w:rPr>
              <w:t>oprogramowanie/aplikacj</w:t>
            </w:r>
            <w:r>
              <w:rPr>
                <w:rFonts w:eastAsia="Times New Roman" w:cstheme="minorHAnsi"/>
                <w:bCs/>
                <w:lang w:eastAsia="pl-PL"/>
              </w:rPr>
              <w:t>e</w:t>
            </w:r>
            <w:r w:rsidRPr="009D4C68">
              <w:rPr>
                <w:rFonts w:eastAsia="Times New Roman" w:cstheme="minorHAnsi"/>
                <w:bCs/>
                <w:lang w:eastAsia="pl-PL"/>
              </w:rPr>
              <w:t xml:space="preserve"> dla niedowidzących i słabosłyszących</w:t>
            </w:r>
          </w:p>
        </w:tc>
      </w:tr>
    </w:tbl>
    <w:p w14:paraId="6FE7F17E" w14:textId="77777777" w:rsidR="00B36E17" w:rsidRDefault="00B36E17">
      <w:pPr>
        <w:rPr>
          <w:rFonts w:eastAsia="Times New Roman" w:cs="Calibri"/>
          <w:bCs/>
          <w:sz w:val="2"/>
          <w:szCs w:val="2"/>
          <w:lang w:eastAsia="pl-PL"/>
        </w:rPr>
      </w:pPr>
    </w:p>
    <w:sectPr w:rsidR="00B36E17" w:rsidSect="00B33FFF">
      <w:headerReference w:type="default" r:id="rId7"/>
      <w:footerReference w:type="default" r:id="rId8"/>
      <w:pgSz w:w="11906" w:h="16838"/>
      <w:pgMar w:top="1417" w:right="1417" w:bottom="1417" w:left="141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2F52" w14:textId="77777777" w:rsidR="00571F7C" w:rsidRDefault="00571F7C" w:rsidP="00AD6719">
      <w:pPr>
        <w:spacing w:after="0" w:line="240" w:lineRule="auto"/>
      </w:pPr>
      <w:r>
        <w:separator/>
      </w:r>
    </w:p>
  </w:endnote>
  <w:endnote w:type="continuationSeparator" w:id="0">
    <w:p w14:paraId="41EA6DF6" w14:textId="77777777" w:rsidR="00571F7C" w:rsidRDefault="00571F7C"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37336"/>
      <w:docPartObj>
        <w:docPartGallery w:val="Page Numbers (Bottom of Page)"/>
        <w:docPartUnique/>
      </w:docPartObj>
    </w:sdtPr>
    <w:sdtEndPr/>
    <w:sdtContent>
      <w:sdt>
        <w:sdtPr>
          <w:id w:val="-1769616900"/>
          <w:docPartObj>
            <w:docPartGallery w:val="Page Numbers (Top of Page)"/>
            <w:docPartUnique/>
          </w:docPartObj>
        </w:sdtPr>
        <w:sdtEndPr/>
        <w:sdtContent>
          <w:p w14:paraId="1DA20A4B" w14:textId="2D1ECA25" w:rsidR="00B33FFF" w:rsidRDefault="00B33FFF" w:rsidP="00B33FFF">
            <w:pPr>
              <w:pStyle w:val="Stopka"/>
              <w:ind w:left="-993"/>
            </w:pPr>
            <w:r>
              <w:rPr>
                <w:noProof/>
              </w:rPr>
              <mc:AlternateContent>
                <mc:Choice Requires="wps">
                  <w:drawing>
                    <wp:inline distT="0" distB="0" distL="0" distR="0" wp14:anchorId="105D0F6A" wp14:editId="5D250982">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2A6E9F" id="Łącznik prosty 6" o:spid="_x0000_s1026" alt="&quot;&quot;"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p>
          <w:p w14:paraId="6C71A1B5" w14:textId="77777777" w:rsidR="00B33FFF" w:rsidRPr="00D90406" w:rsidRDefault="00B33FFF" w:rsidP="00B33FFF">
            <w:pPr>
              <w:pStyle w:val="Stopka"/>
              <w:ind w:left="-1134"/>
              <w:jc w:val="center"/>
              <w:rPr>
                <w:rFonts w:ascii="Arial" w:hAnsi="Arial" w:cs="Arial"/>
                <w:sz w:val="24"/>
              </w:rPr>
            </w:pPr>
          </w:p>
          <w:p w14:paraId="5E557B03" w14:textId="77777777" w:rsidR="00B33FFF" w:rsidRPr="00D90406" w:rsidRDefault="00B33FFF" w:rsidP="00B33FFF">
            <w:pPr>
              <w:pStyle w:val="Stopka"/>
              <w:ind w:left="426"/>
              <w:jc w:val="center"/>
              <w:rPr>
                <w:rFonts w:ascii="Arial" w:hAnsi="Arial" w:cs="Arial"/>
                <w:sz w:val="24"/>
              </w:rPr>
            </w:pPr>
            <w:r w:rsidRPr="00D90406">
              <w:rPr>
                <w:rFonts w:ascii="Arial" w:hAnsi="Arial" w:cs="Arial"/>
                <w:sz w:val="24"/>
              </w:rPr>
              <w:t>Fundusze Europejskie dla Pomorza 2021-2027</w:t>
            </w:r>
          </w:p>
          <w:p w14:paraId="081E1E03" w14:textId="72183C12" w:rsidR="008C2DE5" w:rsidRPr="008C2DE5" w:rsidRDefault="008C2DE5">
            <w:pPr>
              <w:pStyle w:val="Stopka"/>
              <w:jc w:val="right"/>
            </w:pPr>
            <w:r w:rsidRPr="008C2DE5">
              <w:t xml:space="preserve">Strona </w:t>
            </w:r>
            <w:r w:rsidRPr="008C2DE5">
              <w:rPr>
                <w:b/>
                <w:bCs/>
              </w:rPr>
              <w:fldChar w:fldCharType="begin"/>
            </w:r>
            <w:r w:rsidRPr="008C2DE5">
              <w:rPr>
                <w:b/>
                <w:bCs/>
              </w:rPr>
              <w:instrText>PAGE</w:instrText>
            </w:r>
            <w:r w:rsidRPr="008C2DE5">
              <w:rPr>
                <w:b/>
                <w:bCs/>
              </w:rPr>
              <w:fldChar w:fldCharType="separate"/>
            </w:r>
            <w:r w:rsidR="003717A7">
              <w:rPr>
                <w:b/>
                <w:bCs/>
                <w:noProof/>
              </w:rPr>
              <w:t>4</w:t>
            </w:r>
            <w:r w:rsidRPr="008C2DE5">
              <w:rPr>
                <w:b/>
                <w:bCs/>
              </w:rPr>
              <w:fldChar w:fldCharType="end"/>
            </w:r>
            <w:r w:rsidRPr="008C2DE5">
              <w:t xml:space="preserve"> z </w:t>
            </w:r>
            <w:r w:rsidRPr="008C2DE5">
              <w:rPr>
                <w:b/>
                <w:bCs/>
              </w:rPr>
              <w:fldChar w:fldCharType="begin"/>
            </w:r>
            <w:r w:rsidRPr="008C2DE5">
              <w:rPr>
                <w:b/>
                <w:bCs/>
              </w:rPr>
              <w:instrText>NUMPAGES</w:instrText>
            </w:r>
            <w:r w:rsidRPr="008C2DE5">
              <w:rPr>
                <w:b/>
                <w:bCs/>
              </w:rPr>
              <w:fldChar w:fldCharType="separate"/>
            </w:r>
            <w:r w:rsidR="003717A7">
              <w:rPr>
                <w:b/>
                <w:bCs/>
                <w:noProof/>
              </w:rPr>
              <w:t>4</w:t>
            </w:r>
            <w:r w:rsidRPr="008C2DE5">
              <w:rPr>
                <w:b/>
                <w:bCs/>
              </w:rPr>
              <w:fldChar w:fldCharType="end"/>
            </w:r>
          </w:p>
        </w:sdtContent>
      </w:sdt>
    </w:sdtContent>
  </w:sdt>
  <w:p w14:paraId="0102F016" w14:textId="7F5F5A74" w:rsidR="00AD6719" w:rsidRPr="008C2DE5" w:rsidRDefault="00AD6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BA98" w14:textId="77777777" w:rsidR="00571F7C" w:rsidRDefault="00571F7C" w:rsidP="00AD6719">
      <w:pPr>
        <w:spacing w:after="0" w:line="240" w:lineRule="auto"/>
      </w:pPr>
      <w:bookmarkStart w:id="0" w:name="_Hlk180088055"/>
      <w:bookmarkEnd w:id="0"/>
      <w:r>
        <w:separator/>
      </w:r>
    </w:p>
  </w:footnote>
  <w:footnote w:type="continuationSeparator" w:id="0">
    <w:p w14:paraId="24F0EB53" w14:textId="77777777" w:rsidR="00571F7C" w:rsidRDefault="00571F7C"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0E2" w14:textId="39363C39" w:rsidR="00AD6719" w:rsidRDefault="00B33FFF" w:rsidP="00B33FFF">
    <w:pPr>
      <w:pStyle w:val="Nagwek"/>
      <w:tabs>
        <w:tab w:val="clear" w:pos="4536"/>
        <w:tab w:val="center" w:pos="4962"/>
      </w:tabs>
      <w:ind w:left="-1276" w:firstLine="142"/>
    </w:pPr>
    <w:bookmarkStart w:id="1" w:name="_Hlk180087909"/>
    <w:r>
      <w:rPr>
        <w:noProof/>
      </w:rPr>
      <w:drawing>
        <wp:inline distT="0" distB="0" distL="0" distR="0" wp14:anchorId="5FA2033A" wp14:editId="6562B829">
          <wp:extent cx="7029450" cy="658439"/>
          <wp:effectExtent l="0" t="0" r="0" b="0"/>
          <wp:docPr id="1687661692" name="Obraz 1687661692"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173FF2E9" wp14:editId="0B568B59">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F05187"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05B0"/>
    <w:multiLevelType w:val="multilevel"/>
    <w:tmpl w:val="1EA4E394"/>
    <w:numStyleLink w:val="LFO35"/>
  </w:abstractNum>
  <w:abstractNum w:abstractNumId="1"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B55845"/>
    <w:multiLevelType w:val="hybridMultilevel"/>
    <w:tmpl w:val="49828CEC"/>
    <w:lvl w:ilvl="0" w:tplc="B2FCEF8A">
      <w:start w:val="1"/>
      <w:numFmt w:val="decimal"/>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433678">
    <w:abstractNumId w:val="3"/>
  </w:num>
  <w:num w:numId="2" w16cid:durableId="1287127678">
    <w:abstractNumId w:val="0"/>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 w16cid:durableId="1928803696">
    <w:abstractNumId w:val="1"/>
  </w:num>
  <w:num w:numId="4" w16cid:durableId="1706176517">
    <w:abstractNumId w:val="4"/>
  </w:num>
  <w:num w:numId="5" w16cid:durableId="84057968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2083B"/>
    <w:rsid w:val="000A0044"/>
    <w:rsid w:val="000B73E4"/>
    <w:rsid w:val="000D21E2"/>
    <w:rsid w:val="000E6FAC"/>
    <w:rsid w:val="001445AE"/>
    <w:rsid w:val="00154D05"/>
    <w:rsid w:val="001A5FD4"/>
    <w:rsid w:val="001D1D9F"/>
    <w:rsid w:val="00347CF2"/>
    <w:rsid w:val="003717A7"/>
    <w:rsid w:val="00395638"/>
    <w:rsid w:val="003C70A0"/>
    <w:rsid w:val="003D20E1"/>
    <w:rsid w:val="003F71D8"/>
    <w:rsid w:val="00407B24"/>
    <w:rsid w:val="004747C0"/>
    <w:rsid w:val="004922C9"/>
    <w:rsid w:val="005341FC"/>
    <w:rsid w:val="00571F7C"/>
    <w:rsid w:val="005B1E82"/>
    <w:rsid w:val="005C64C7"/>
    <w:rsid w:val="006277BB"/>
    <w:rsid w:val="00635D2C"/>
    <w:rsid w:val="00656CC1"/>
    <w:rsid w:val="0066583E"/>
    <w:rsid w:val="0067125A"/>
    <w:rsid w:val="006873D0"/>
    <w:rsid w:val="006E04BE"/>
    <w:rsid w:val="006E6005"/>
    <w:rsid w:val="007C2CD3"/>
    <w:rsid w:val="007D719E"/>
    <w:rsid w:val="007F13D9"/>
    <w:rsid w:val="007F74CD"/>
    <w:rsid w:val="00856BD5"/>
    <w:rsid w:val="008656E9"/>
    <w:rsid w:val="00870BF4"/>
    <w:rsid w:val="008876FB"/>
    <w:rsid w:val="008A50E8"/>
    <w:rsid w:val="008A6251"/>
    <w:rsid w:val="008B20E3"/>
    <w:rsid w:val="008C2DE5"/>
    <w:rsid w:val="008C4D6D"/>
    <w:rsid w:val="00955BE8"/>
    <w:rsid w:val="00975138"/>
    <w:rsid w:val="009D4C68"/>
    <w:rsid w:val="00A03670"/>
    <w:rsid w:val="00A333DF"/>
    <w:rsid w:val="00A34859"/>
    <w:rsid w:val="00A34F06"/>
    <w:rsid w:val="00A42389"/>
    <w:rsid w:val="00A434C1"/>
    <w:rsid w:val="00A7174A"/>
    <w:rsid w:val="00A866A9"/>
    <w:rsid w:val="00AC2B3F"/>
    <w:rsid w:val="00AD6719"/>
    <w:rsid w:val="00AF6D95"/>
    <w:rsid w:val="00B33FFF"/>
    <w:rsid w:val="00B36E17"/>
    <w:rsid w:val="00B461FF"/>
    <w:rsid w:val="00B521FD"/>
    <w:rsid w:val="00B72C3F"/>
    <w:rsid w:val="00B763EC"/>
    <w:rsid w:val="00BB6B22"/>
    <w:rsid w:val="00BE3857"/>
    <w:rsid w:val="00BF21DE"/>
    <w:rsid w:val="00C00DB9"/>
    <w:rsid w:val="00C0198D"/>
    <w:rsid w:val="00C25DDE"/>
    <w:rsid w:val="00C62D87"/>
    <w:rsid w:val="00C733AD"/>
    <w:rsid w:val="00C91DB1"/>
    <w:rsid w:val="00CD1150"/>
    <w:rsid w:val="00CD46B3"/>
    <w:rsid w:val="00CF58C6"/>
    <w:rsid w:val="00D10AB4"/>
    <w:rsid w:val="00D21A52"/>
    <w:rsid w:val="00D355FA"/>
    <w:rsid w:val="00E031FB"/>
    <w:rsid w:val="00E2092B"/>
    <w:rsid w:val="00E25C3B"/>
    <w:rsid w:val="00E439A2"/>
    <w:rsid w:val="00E62BB8"/>
    <w:rsid w:val="00E6538C"/>
    <w:rsid w:val="00ED096A"/>
    <w:rsid w:val="00EE346E"/>
    <w:rsid w:val="00F42E4D"/>
    <w:rsid w:val="00F63A48"/>
    <w:rsid w:val="00F63F0B"/>
    <w:rsid w:val="00F8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2"/>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1"/>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19"/>
  </w:style>
  <w:style w:type="paragraph" w:styleId="Stopka">
    <w:name w:val="footer"/>
    <w:basedOn w:val="Normalny"/>
    <w:link w:val="StopkaZnak"/>
    <w:uiPriority w:val="99"/>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 w:type="character" w:customStyle="1" w:styleId="attribute-values">
    <w:name w:val="attribute-values"/>
    <w:basedOn w:val="Domylnaczcionkaakapitu"/>
    <w:rsid w:val="00D3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4</Pages>
  <Words>1028</Words>
  <Characters>6172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31</cp:revision>
  <dcterms:created xsi:type="dcterms:W3CDTF">2024-09-03T13:18:00Z</dcterms:created>
  <dcterms:modified xsi:type="dcterms:W3CDTF">2024-10-17T18:16:00Z</dcterms:modified>
</cp:coreProperties>
</file>