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22D7B" w:rsidRDefault="005773F2" w:rsidP="00E22D7B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58DAD215" w:rsidR="009E4F3D" w:rsidRPr="00E22D7B" w:rsidRDefault="009E4F3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Oznaczenie sprawy: </w:t>
      </w:r>
      <w:r w:rsidR="00163F85">
        <w:rPr>
          <w:rFonts w:cstheme="minorHAnsi"/>
          <w:b/>
          <w:sz w:val="18"/>
          <w:szCs w:val="18"/>
        </w:rPr>
        <w:t>TP</w:t>
      </w:r>
      <w:r w:rsidRPr="00E22D7B">
        <w:rPr>
          <w:rFonts w:cstheme="minorHAnsi"/>
          <w:b/>
          <w:sz w:val="18"/>
          <w:szCs w:val="18"/>
        </w:rPr>
        <w:t>-</w:t>
      </w:r>
      <w:r w:rsidR="00530BB7">
        <w:rPr>
          <w:rFonts w:cstheme="minorHAnsi"/>
          <w:b/>
          <w:sz w:val="18"/>
          <w:szCs w:val="18"/>
        </w:rPr>
        <w:t>83</w:t>
      </w:r>
      <w:r w:rsidRPr="00E22D7B">
        <w:rPr>
          <w:rFonts w:cstheme="minorHAnsi"/>
          <w:b/>
          <w:sz w:val="18"/>
          <w:szCs w:val="18"/>
        </w:rPr>
        <w:t>/2</w:t>
      </w:r>
      <w:r w:rsidR="000017CB" w:rsidRPr="00E22D7B">
        <w:rPr>
          <w:rFonts w:cstheme="minorHAnsi"/>
          <w:b/>
          <w:sz w:val="18"/>
          <w:szCs w:val="18"/>
        </w:rPr>
        <w:t>4</w:t>
      </w:r>
    </w:p>
    <w:p w14:paraId="3363EB4C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BB3BE90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2A73FC1D" w14:textId="5BE66F79" w:rsidR="008664B7" w:rsidRPr="00E22D7B" w:rsidRDefault="00530BB7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530BB7">
        <w:rPr>
          <w:rFonts w:cstheme="minorHAnsi"/>
          <w:b/>
          <w:sz w:val="18"/>
          <w:szCs w:val="18"/>
        </w:rPr>
        <w:t>Z</w:t>
      </w:r>
      <w:r w:rsidRPr="00530BB7">
        <w:rPr>
          <w:rFonts w:cstheme="minorHAnsi"/>
          <w:b/>
          <w:sz w:val="18"/>
          <w:szCs w:val="18"/>
        </w:rPr>
        <w:t>estaw</w:t>
      </w:r>
      <w:r>
        <w:rPr>
          <w:rFonts w:cstheme="minorHAnsi"/>
          <w:b/>
          <w:sz w:val="18"/>
          <w:szCs w:val="18"/>
        </w:rPr>
        <w:t xml:space="preserve">y </w:t>
      </w:r>
      <w:proofErr w:type="spellStart"/>
      <w:r w:rsidRPr="00530BB7">
        <w:rPr>
          <w:rFonts w:cstheme="minorHAnsi"/>
          <w:b/>
          <w:sz w:val="18"/>
          <w:szCs w:val="18"/>
        </w:rPr>
        <w:t>minihisteroresektoskopow</w:t>
      </w:r>
      <w:r>
        <w:rPr>
          <w:rFonts w:cstheme="minorHAnsi"/>
          <w:b/>
          <w:sz w:val="18"/>
          <w:szCs w:val="18"/>
        </w:rPr>
        <w:t>e</w:t>
      </w:r>
      <w:proofErr w:type="spellEnd"/>
      <w:r w:rsidRPr="00530BB7">
        <w:rPr>
          <w:rFonts w:cstheme="minorHAnsi"/>
          <w:b/>
          <w:sz w:val="18"/>
          <w:szCs w:val="18"/>
        </w:rPr>
        <w:t xml:space="preserve"> &lt;16,5 Fr – 5 szt.</w:t>
      </w:r>
    </w:p>
    <w:tbl>
      <w:tblPr>
        <w:tblStyle w:val="Tabela-Siatk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7143"/>
        <w:gridCol w:w="1362"/>
        <w:gridCol w:w="1559"/>
      </w:tblGrid>
      <w:tr w:rsidR="00163F85" w:rsidRPr="00163F85" w14:paraId="172F7153" w14:textId="77777777" w:rsidTr="00E22D7B">
        <w:trPr>
          <w:trHeight w:val="448"/>
        </w:trPr>
        <w:tc>
          <w:tcPr>
            <w:tcW w:w="7994" w:type="dxa"/>
            <w:gridSpan w:val="2"/>
          </w:tcPr>
          <w:p w14:paraId="7DBF60E2" w14:textId="6565C7B4" w:rsidR="00163F85" w:rsidRPr="00163F85" w:rsidRDefault="00163F85" w:rsidP="00163F85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163F85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2921" w:type="dxa"/>
            <w:gridSpan w:val="2"/>
          </w:tcPr>
          <w:p w14:paraId="31F4CB7E" w14:textId="0C86D344" w:rsidR="00163F85" w:rsidRPr="00163F85" w:rsidRDefault="00163F85" w:rsidP="00163F8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163F85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163F85" w:rsidRPr="00163F85" w14:paraId="34556F86" w14:textId="77777777" w:rsidTr="00E22D7B">
        <w:trPr>
          <w:trHeight w:val="426"/>
        </w:trPr>
        <w:tc>
          <w:tcPr>
            <w:tcW w:w="7994" w:type="dxa"/>
            <w:gridSpan w:val="2"/>
          </w:tcPr>
          <w:p w14:paraId="121B3ABF" w14:textId="4C05C3BE" w:rsidR="00163F85" w:rsidRPr="00163F85" w:rsidRDefault="00163F85" w:rsidP="00163F85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163F85">
              <w:rPr>
                <w:rFonts w:cstheme="minorHAnsi"/>
                <w:sz w:val="18"/>
                <w:szCs w:val="18"/>
              </w:rPr>
              <w:t>Rok produkcji (nie wcześniej niż 2023) nowy, nieużywany</w:t>
            </w:r>
            <w:r w:rsidR="00530BB7">
              <w:rPr>
                <w:rFonts w:cstheme="minorHAnsi"/>
                <w:sz w:val="18"/>
                <w:szCs w:val="18"/>
              </w:rPr>
              <w:t xml:space="preserve">, </w:t>
            </w:r>
            <w:r w:rsidR="00530BB7" w:rsidRPr="00530BB7">
              <w:rPr>
                <w:rFonts w:cstheme="minorHAnsi"/>
                <w:sz w:val="18"/>
                <w:szCs w:val="18"/>
              </w:rPr>
              <w:t>niedemonstracyjny</w:t>
            </w:r>
          </w:p>
        </w:tc>
        <w:tc>
          <w:tcPr>
            <w:tcW w:w="2921" w:type="dxa"/>
            <w:gridSpan w:val="2"/>
          </w:tcPr>
          <w:p w14:paraId="39A970B4" w14:textId="2B638F27" w:rsidR="00163F85" w:rsidRPr="00163F85" w:rsidRDefault="00163F85" w:rsidP="00163F8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163F85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163F85" w:rsidRPr="00163F85" w14:paraId="34997E6D" w14:textId="77777777" w:rsidTr="00E22D7B">
        <w:trPr>
          <w:trHeight w:val="390"/>
        </w:trPr>
        <w:tc>
          <w:tcPr>
            <w:tcW w:w="7994" w:type="dxa"/>
            <w:gridSpan w:val="2"/>
          </w:tcPr>
          <w:p w14:paraId="4CA4421E" w14:textId="04417BC5" w:rsidR="00163F85" w:rsidRPr="00163F85" w:rsidRDefault="00163F85" w:rsidP="00163F85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163F85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2921" w:type="dxa"/>
            <w:gridSpan w:val="2"/>
          </w:tcPr>
          <w:p w14:paraId="54895BF4" w14:textId="74B461D0" w:rsidR="00163F85" w:rsidRPr="00163F85" w:rsidRDefault="00530BB7" w:rsidP="00163F85">
            <w:pPr>
              <w:widowContro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163F85" w:rsidRPr="00163F85" w14:paraId="02226077" w14:textId="77777777" w:rsidTr="00E22D7B">
        <w:trPr>
          <w:trHeight w:val="424"/>
        </w:trPr>
        <w:tc>
          <w:tcPr>
            <w:tcW w:w="7994" w:type="dxa"/>
            <w:gridSpan w:val="2"/>
          </w:tcPr>
          <w:p w14:paraId="7F93ECD1" w14:textId="33167408" w:rsidR="00163F85" w:rsidRPr="00163F85" w:rsidRDefault="00163F85" w:rsidP="00163F85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163F85">
              <w:rPr>
                <w:rFonts w:cstheme="minorHAnsi"/>
                <w:sz w:val="18"/>
                <w:szCs w:val="18"/>
              </w:rPr>
              <w:t>Termin dostawy nie później niż 15.12.2024</w:t>
            </w:r>
          </w:p>
        </w:tc>
        <w:tc>
          <w:tcPr>
            <w:tcW w:w="2921" w:type="dxa"/>
            <w:gridSpan w:val="2"/>
          </w:tcPr>
          <w:p w14:paraId="68F10A3B" w14:textId="7EFA6B9E" w:rsidR="00163F85" w:rsidRPr="00163F85" w:rsidRDefault="00530BB7" w:rsidP="00163F85">
            <w:pPr>
              <w:widowContro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163F85" w:rsidRPr="00163F85" w14:paraId="6110C6A8" w14:textId="77777777" w:rsidTr="00E22D7B">
        <w:trPr>
          <w:trHeight w:val="402"/>
        </w:trPr>
        <w:tc>
          <w:tcPr>
            <w:tcW w:w="7994" w:type="dxa"/>
            <w:gridSpan w:val="2"/>
          </w:tcPr>
          <w:p w14:paraId="7BDB5F56" w14:textId="3D688E11" w:rsidR="00163F85" w:rsidRPr="00163F85" w:rsidRDefault="00163F85" w:rsidP="00163F85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163F85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2921" w:type="dxa"/>
            <w:gridSpan w:val="2"/>
          </w:tcPr>
          <w:p w14:paraId="29E56998" w14:textId="764A7611" w:rsidR="00163F85" w:rsidRPr="00163F85" w:rsidRDefault="00530BB7" w:rsidP="00163F85">
            <w:pPr>
              <w:widowContro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530BB7" w:rsidRPr="00163F85" w14:paraId="6F7AC818" w14:textId="77777777" w:rsidTr="00E22D7B">
        <w:trPr>
          <w:trHeight w:val="402"/>
        </w:trPr>
        <w:tc>
          <w:tcPr>
            <w:tcW w:w="7994" w:type="dxa"/>
            <w:gridSpan w:val="2"/>
          </w:tcPr>
          <w:p w14:paraId="480341CF" w14:textId="1242DCA1" w:rsidR="00530BB7" w:rsidRPr="00163F85" w:rsidRDefault="00530BB7" w:rsidP="00163F8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530BB7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2921" w:type="dxa"/>
            <w:gridSpan w:val="2"/>
          </w:tcPr>
          <w:p w14:paraId="40008854" w14:textId="0DD18D7A" w:rsidR="00530BB7" w:rsidRPr="00163F85" w:rsidRDefault="00530BB7" w:rsidP="00163F85">
            <w:pPr>
              <w:widowContro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Opisać</w:t>
            </w:r>
          </w:p>
        </w:tc>
      </w:tr>
      <w:tr w:rsidR="008664B7" w:rsidRPr="00E22D7B" w14:paraId="0FD22A3E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051CC4E6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7143" w:type="dxa"/>
          </w:tcPr>
          <w:p w14:paraId="3BBA6C25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362" w:type="dxa"/>
          </w:tcPr>
          <w:p w14:paraId="79D390F1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59" w:type="dxa"/>
          </w:tcPr>
          <w:p w14:paraId="446C7505" w14:textId="77777777" w:rsidR="008664B7" w:rsidRPr="00E22D7B" w:rsidRDefault="008664B7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E22D7B" w14:paraId="24078C0A" w14:textId="77777777" w:rsidTr="008664B7">
        <w:trPr>
          <w:trHeight w:val="625"/>
        </w:trPr>
        <w:tc>
          <w:tcPr>
            <w:tcW w:w="10915" w:type="dxa"/>
            <w:gridSpan w:val="4"/>
            <w:vAlign w:val="center"/>
          </w:tcPr>
          <w:p w14:paraId="0CAB55CF" w14:textId="4F4A568B" w:rsidR="008664B7" w:rsidRPr="00E22D7B" w:rsidRDefault="00530BB7" w:rsidP="00E22D7B">
            <w:pPr>
              <w:widowControl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30BB7">
              <w:rPr>
                <w:rFonts w:cstheme="minorHAnsi"/>
                <w:b/>
                <w:bCs/>
                <w:sz w:val="18"/>
                <w:szCs w:val="18"/>
              </w:rPr>
              <w:t xml:space="preserve">Zestawy </w:t>
            </w:r>
            <w:proofErr w:type="spellStart"/>
            <w:r w:rsidRPr="00530BB7">
              <w:rPr>
                <w:rFonts w:cstheme="minorHAnsi"/>
                <w:b/>
                <w:bCs/>
                <w:sz w:val="18"/>
                <w:szCs w:val="18"/>
              </w:rPr>
              <w:t>minihisteroresektoskopowe</w:t>
            </w:r>
            <w:proofErr w:type="spellEnd"/>
            <w:r w:rsidRPr="00530BB7">
              <w:rPr>
                <w:rFonts w:cstheme="minorHAnsi"/>
                <w:b/>
                <w:bCs/>
                <w:sz w:val="18"/>
                <w:szCs w:val="18"/>
              </w:rPr>
              <w:t xml:space="preserve"> &lt;16,5 Fr – 5 szt.</w:t>
            </w:r>
          </w:p>
        </w:tc>
      </w:tr>
      <w:tr w:rsidR="00530BB7" w:rsidRPr="003B799C" w14:paraId="3522B532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50942B0E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F44A69B" w14:textId="6558E3F9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polskim.</w:t>
            </w:r>
          </w:p>
        </w:tc>
        <w:tc>
          <w:tcPr>
            <w:tcW w:w="1362" w:type="dxa"/>
            <w:vAlign w:val="center"/>
          </w:tcPr>
          <w:p w14:paraId="67B85F13" w14:textId="11296B37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72442C8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65D742AC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0F8DFE08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573B97" w14:textId="1E2EA50B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Szkolenie personelu z zakresu użytkowania.</w:t>
            </w:r>
          </w:p>
        </w:tc>
        <w:tc>
          <w:tcPr>
            <w:tcW w:w="1362" w:type="dxa"/>
            <w:vAlign w:val="center"/>
          </w:tcPr>
          <w:p w14:paraId="0E960306" w14:textId="7D02E3A2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FEB7A0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450C9704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0E25C09D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5B11BD" w14:textId="7E7E6BD0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(prawidłowa eksploatacja, czyszczenie, czynności serwisowe niewymagające specjalistycznych urządzeń pomiarowych i oprogramowania).</w:t>
            </w:r>
          </w:p>
        </w:tc>
        <w:tc>
          <w:tcPr>
            <w:tcW w:w="1362" w:type="dxa"/>
            <w:vAlign w:val="center"/>
          </w:tcPr>
          <w:p w14:paraId="15C45D2C" w14:textId="72E3C911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9372ED6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58AA1E23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0F0A550A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A6D1948" w14:textId="52FAFC14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wymagane.</w:t>
            </w:r>
          </w:p>
        </w:tc>
        <w:tc>
          <w:tcPr>
            <w:tcW w:w="1362" w:type="dxa"/>
            <w:vAlign w:val="center"/>
          </w:tcPr>
          <w:p w14:paraId="666F9EEB" w14:textId="27A57DE6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Tak, jaka częstotliwość przeglądów</w:t>
            </w:r>
          </w:p>
        </w:tc>
        <w:tc>
          <w:tcPr>
            <w:tcW w:w="1559" w:type="dxa"/>
          </w:tcPr>
          <w:p w14:paraId="63308D50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31C3E327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1530A05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B42B79" w14:textId="01A56C4D" w:rsidR="00530BB7" w:rsidRPr="00530BB7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530BB7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362" w:type="dxa"/>
            <w:vAlign w:val="center"/>
          </w:tcPr>
          <w:p w14:paraId="73511365" w14:textId="12DBA99D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61FA16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534EAF04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42EE1BBF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3AB3A4A" w14:textId="42388211" w:rsidR="00530BB7" w:rsidRPr="00530BB7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UE.</w:t>
            </w:r>
          </w:p>
        </w:tc>
        <w:tc>
          <w:tcPr>
            <w:tcW w:w="1362" w:type="dxa"/>
            <w:vAlign w:val="center"/>
          </w:tcPr>
          <w:p w14:paraId="1AE802CD" w14:textId="1006A356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1C024C0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705F4181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0C9D216B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317CE1B" w14:textId="0CE29395" w:rsidR="00530BB7" w:rsidRPr="00530BB7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Wykaz wszystkich części zamiennych, akcesoriów jedno- i wielorazowych koniecznych do wymiany okresowej przewidzianych przez producenta i określonych jako eksploatacyjne wraz ze wskazaniem okresu używalności poszczególnych elementów. Dokument w osobnym pliku ze wskazaniem numerów REF.</w:t>
            </w:r>
          </w:p>
        </w:tc>
        <w:tc>
          <w:tcPr>
            <w:tcW w:w="1362" w:type="dxa"/>
            <w:vAlign w:val="center"/>
          </w:tcPr>
          <w:p w14:paraId="434A992E" w14:textId="69B4CFAA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E35C79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4DBD9FE0" w14:textId="77777777" w:rsidTr="00A36720">
        <w:trPr>
          <w:trHeight w:val="625"/>
        </w:trPr>
        <w:tc>
          <w:tcPr>
            <w:tcW w:w="851" w:type="dxa"/>
            <w:vAlign w:val="bottom"/>
          </w:tcPr>
          <w:p w14:paraId="1160F0DF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F0549FE" w14:textId="6B446C0E" w:rsidR="00530BB7" w:rsidRPr="00530BB7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Optyka endoskopowa w systemie Full HD, dedykowana do systemów Full HD.</w:t>
            </w:r>
            <w:r w:rsidRPr="00530BB7">
              <w:rPr>
                <w:rFonts w:cstheme="minorHAnsi"/>
                <w:color w:val="000000"/>
                <w:sz w:val="18"/>
                <w:szCs w:val="18"/>
              </w:rPr>
              <w:br/>
              <w:t>Jakość obrazu optyki identyczna w środku jak i na brzegach optyki.</w:t>
            </w:r>
            <w:r w:rsidRPr="00530BB7">
              <w:rPr>
                <w:rFonts w:cstheme="minorHAnsi"/>
                <w:color w:val="000000"/>
                <w:sz w:val="18"/>
                <w:szCs w:val="18"/>
              </w:rPr>
              <w:br/>
              <w:t>Pole widzenia min. 80 stopni, śr. &lt;3 mm, kąt patrzenia 0 stopni, dł. 300-310 mm.</w:t>
            </w:r>
          </w:p>
        </w:tc>
        <w:tc>
          <w:tcPr>
            <w:tcW w:w="1362" w:type="dxa"/>
            <w:vAlign w:val="center"/>
          </w:tcPr>
          <w:p w14:paraId="18F46AD8" w14:textId="745A8363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</w:t>
            </w:r>
            <w:r>
              <w:rPr>
                <w:rFonts w:cstheme="minorHAnsi"/>
                <w:color w:val="000000"/>
                <w:sz w:val="18"/>
                <w:szCs w:val="18"/>
              </w:rPr>
              <w:t>ak</w:t>
            </w:r>
          </w:p>
        </w:tc>
        <w:tc>
          <w:tcPr>
            <w:tcW w:w="1559" w:type="dxa"/>
          </w:tcPr>
          <w:p w14:paraId="73B3A493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2DD690F3" w14:textId="77777777" w:rsidTr="00A36720">
        <w:trPr>
          <w:trHeight w:val="625"/>
        </w:trPr>
        <w:tc>
          <w:tcPr>
            <w:tcW w:w="851" w:type="dxa"/>
            <w:vAlign w:val="bottom"/>
          </w:tcPr>
          <w:p w14:paraId="7EAB339B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8E7BC58" w14:textId="3AF24661" w:rsidR="00530BB7" w:rsidRPr="00530BB7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 xml:space="preserve">Element roboczy zestawu umożliwiający przeprowadzenie </w:t>
            </w:r>
            <w:proofErr w:type="spellStart"/>
            <w:r w:rsidRPr="00530BB7">
              <w:rPr>
                <w:rFonts w:cstheme="minorHAnsi"/>
                <w:color w:val="000000"/>
                <w:sz w:val="18"/>
                <w:szCs w:val="18"/>
              </w:rPr>
              <w:t>resektoskopii</w:t>
            </w:r>
            <w:proofErr w:type="spellEnd"/>
            <w:r w:rsidRPr="00530BB7">
              <w:rPr>
                <w:rFonts w:cstheme="minorHAnsi"/>
                <w:color w:val="000000"/>
                <w:sz w:val="18"/>
                <w:szCs w:val="18"/>
              </w:rPr>
              <w:t>, pasywny.</w:t>
            </w:r>
            <w:r w:rsidRPr="00530BB7">
              <w:rPr>
                <w:rFonts w:cstheme="minorHAnsi"/>
                <w:color w:val="000000"/>
                <w:sz w:val="18"/>
                <w:szCs w:val="18"/>
              </w:rPr>
              <w:br/>
              <w:t xml:space="preserve">Element przeznaczony do zestawu &lt;15 FR i  </w:t>
            </w:r>
            <w:r w:rsidRPr="00530BB7">
              <w:rPr>
                <w:rFonts w:cstheme="minorHAnsi"/>
                <w:color w:val="000000" w:themeColor="text1"/>
                <w:sz w:val="18"/>
                <w:szCs w:val="18"/>
              </w:rPr>
              <w:t xml:space="preserve">&lt;16,5 </w:t>
            </w:r>
            <w:r w:rsidRPr="00530BB7">
              <w:rPr>
                <w:rFonts w:cstheme="minorHAnsi"/>
                <w:color w:val="000000"/>
                <w:sz w:val="18"/>
                <w:szCs w:val="18"/>
              </w:rPr>
              <w:t>FR oraz do pracy mono i bipolarnej.</w:t>
            </w:r>
            <w:r w:rsidRPr="00530BB7">
              <w:rPr>
                <w:rFonts w:cstheme="minorHAnsi"/>
                <w:color w:val="000000"/>
                <w:sz w:val="18"/>
                <w:szCs w:val="18"/>
              </w:rPr>
              <w:br/>
              <w:t xml:space="preserve">Element roboczy bezpieczny dla użytkownika - wyposażony w zabezpieczenie w postaci części izolacyjnej, oraz </w:t>
            </w:r>
            <w:proofErr w:type="spellStart"/>
            <w:r w:rsidRPr="00530BB7">
              <w:rPr>
                <w:rFonts w:cstheme="minorHAnsi"/>
                <w:color w:val="000000" w:themeColor="text1"/>
                <w:sz w:val="18"/>
                <w:szCs w:val="18"/>
              </w:rPr>
              <w:t>dystanser</w:t>
            </w:r>
            <w:proofErr w:type="spellEnd"/>
            <w:r w:rsidRPr="00530BB7">
              <w:rPr>
                <w:rFonts w:cstheme="minorHAnsi"/>
                <w:color w:val="000000" w:themeColor="text1"/>
                <w:sz w:val="18"/>
                <w:szCs w:val="18"/>
              </w:rPr>
              <w:t xml:space="preserve"> chroniący części zestawu i zabezpieczający pacjenta przed przypadkowym poparzeniem energią elektryczną</w:t>
            </w:r>
            <w:r w:rsidRPr="00530BB7">
              <w:rPr>
                <w:rFonts w:cstheme="minorHAnsi"/>
                <w:color w:val="000000"/>
                <w:sz w:val="18"/>
                <w:szCs w:val="18"/>
              </w:rPr>
              <w:t>. Uchwyt elementu roboczego wykonany z tytanu.</w:t>
            </w:r>
          </w:p>
        </w:tc>
        <w:tc>
          <w:tcPr>
            <w:tcW w:w="1362" w:type="dxa"/>
            <w:vAlign w:val="center"/>
          </w:tcPr>
          <w:p w14:paraId="3D313956" w14:textId="4201E282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</w:t>
            </w:r>
            <w:r>
              <w:rPr>
                <w:rFonts w:cstheme="minorHAnsi"/>
                <w:color w:val="000000"/>
                <w:sz w:val="18"/>
                <w:szCs w:val="18"/>
              </w:rPr>
              <w:t>ak</w:t>
            </w:r>
          </w:p>
        </w:tc>
        <w:tc>
          <w:tcPr>
            <w:tcW w:w="1559" w:type="dxa"/>
          </w:tcPr>
          <w:p w14:paraId="24716904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3BB2699C" w14:textId="77777777" w:rsidTr="00A36720">
        <w:trPr>
          <w:trHeight w:val="625"/>
        </w:trPr>
        <w:tc>
          <w:tcPr>
            <w:tcW w:w="851" w:type="dxa"/>
            <w:vAlign w:val="bottom"/>
          </w:tcPr>
          <w:p w14:paraId="1B839398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1C1F57A" w14:textId="7B82C34A" w:rsidR="00530BB7" w:rsidRPr="00530BB7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 xml:space="preserve">Okrągły płaszcz zewnętrzny zestawu </w:t>
            </w:r>
            <w:r w:rsidRPr="00530BB7">
              <w:rPr>
                <w:rFonts w:cstheme="minorHAnsi"/>
                <w:color w:val="000000" w:themeColor="text1"/>
                <w:sz w:val="18"/>
                <w:szCs w:val="18"/>
              </w:rPr>
              <w:t>&lt;16,5 FR</w:t>
            </w:r>
            <w:r w:rsidRPr="00530BB7">
              <w:rPr>
                <w:rFonts w:cstheme="minorHAnsi"/>
                <w:color w:val="C00000"/>
                <w:sz w:val="18"/>
                <w:szCs w:val="18"/>
              </w:rPr>
              <w:t xml:space="preserve">, </w:t>
            </w:r>
            <w:r w:rsidRPr="00530BB7">
              <w:rPr>
                <w:rFonts w:cstheme="minorHAnsi"/>
                <w:color w:val="000000"/>
                <w:sz w:val="18"/>
                <w:szCs w:val="18"/>
              </w:rPr>
              <w:t xml:space="preserve">długość robocza </w:t>
            </w:r>
            <w:r w:rsidRPr="00530BB7">
              <w:rPr>
                <w:rFonts w:cstheme="minorHAnsi"/>
                <w:color w:val="000000" w:themeColor="text1"/>
                <w:sz w:val="18"/>
                <w:szCs w:val="18"/>
              </w:rPr>
              <w:t>&lt;195</w:t>
            </w:r>
            <w:r w:rsidRPr="00530BB7">
              <w:rPr>
                <w:rFonts w:cstheme="minorHAnsi"/>
                <w:color w:val="000000"/>
                <w:sz w:val="18"/>
                <w:szCs w:val="18"/>
              </w:rPr>
              <w:t xml:space="preserve"> mm, dedykowany do systemu, który po odpowiednim przezbrojeniu (dobór właściwego płaszcza wewnętrznego) umożliwi wykonania zarówno </w:t>
            </w:r>
            <w:proofErr w:type="spellStart"/>
            <w:r w:rsidRPr="00530BB7">
              <w:rPr>
                <w:rFonts w:cstheme="minorHAnsi"/>
                <w:color w:val="000000"/>
                <w:sz w:val="18"/>
                <w:szCs w:val="18"/>
              </w:rPr>
              <w:t>resektoskopii</w:t>
            </w:r>
            <w:proofErr w:type="spellEnd"/>
            <w:r w:rsidRPr="00530BB7">
              <w:rPr>
                <w:rFonts w:cstheme="minorHAnsi"/>
                <w:color w:val="000000"/>
                <w:sz w:val="18"/>
                <w:szCs w:val="18"/>
              </w:rPr>
              <w:t xml:space="preserve"> jak i histeroskopii.</w:t>
            </w:r>
            <w:r w:rsidRPr="00530BB7">
              <w:rPr>
                <w:rFonts w:cstheme="minorHAnsi"/>
                <w:color w:val="000000"/>
                <w:sz w:val="18"/>
                <w:szCs w:val="18"/>
              </w:rPr>
              <w:br/>
              <w:t>Płaszcz przeznaczony do współpracy z optykami endoskopowymi o kątach: 0 stopni, 12 stopni oraz 30 stopni, średnicy &lt;3 mm i długości optyki 300-310 mm.</w:t>
            </w:r>
            <w:r w:rsidRPr="00530BB7">
              <w:rPr>
                <w:rFonts w:cstheme="minorHAnsi"/>
                <w:color w:val="000000"/>
                <w:sz w:val="18"/>
                <w:szCs w:val="18"/>
              </w:rPr>
              <w:br/>
              <w:t>Wyposażony w dwa metalowe kraniki, sterujące przepływem medium.</w:t>
            </w:r>
            <w:r w:rsidRPr="00530BB7">
              <w:rPr>
                <w:rFonts w:cstheme="minorHAnsi"/>
                <w:color w:val="000000"/>
                <w:sz w:val="18"/>
                <w:szCs w:val="18"/>
              </w:rPr>
              <w:br/>
              <w:t>Płaszcz perforowany. Mocowanie w systemie zatrzaskowym.</w:t>
            </w:r>
          </w:p>
        </w:tc>
        <w:tc>
          <w:tcPr>
            <w:tcW w:w="1362" w:type="dxa"/>
            <w:vAlign w:val="center"/>
          </w:tcPr>
          <w:p w14:paraId="28F31932" w14:textId="62423D65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</w:t>
            </w:r>
            <w:r>
              <w:rPr>
                <w:rFonts w:cstheme="minorHAnsi"/>
                <w:color w:val="000000"/>
                <w:sz w:val="18"/>
                <w:szCs w:val="18"/>
              </w:rPr>
              <w:t>ak</w:t>
            </w:r>
          </w:p>
        </w:tc>
        <w:tc>
          <w:tcPr>
            <w:tcW w:w="1559" w:type="dxa"/>
          </w:tcPr>
          <w:p w14:paraId="111A5EC5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6416DFFF" w14:textId="77777777" w:rsidTr="00A36720">
        <w:trPr>
          <w:trHeight w:val="625"/>
        </w:trPr>
        <w:tc>
          <w:tcPr>
            <w:tcW w:w="851" w:type="dxa"/>
            <w:vAlign w:val="bottom"/>
          </w:tcPr>
          <w:p w14:paraId="468A486F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099E18" w14:textId="628AD5BB" w:rsidR="00530BB7" w:rsidRPr="00530BB7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 xml:space="preserve">Okrągły płaszcz wewnętrzny, kompatybilny z płaszczem zewnętrznym zestawu. Płaszcz dedykowany do zestawu &lt;16,5 FR, dedykowany do </w:t>
            </w:r>
            <w:proofErr w:type="spellStart"/>
            <w:r w:rsidRPr="00530BB7">
              <w:rPr>
                <w:rFonts w:cstheme="minorHAnsi"/>
                <w:color w:val="000000"/>
                <w:sz w:val="18"/>
                <w:szCs w:val="18"/>
              </w:rPr>
              <w:t>resektoskopii</w:t>
            </w:r>
            <w:proofErr w:type="spellEnd"/>
            <w:r w:rsidRPr="00530BB7">
              <w:rPr>
                <w:rFonts w:cstheme="minorHAnsi"/>
                <w:color w:val="000000"/>
                <w:sz w:val="18"/>
                <w:szCs w:val="18"/>
              </w:rPr>
              <w:t xml:space="preserve">. Płaszcz z oznakowaniem kolorystycznym ułatwiającym składanie zestawu </w:t>
            </w:r>
            <w:r w:rsidRPr="00530BB7">
              <w:rPr>
                <w:rFonts w:cstheme="minorHAnsi"/>
                <w:color w:val="000000" w:themeColor="text1"/>
                <w:sz w:val="18"/>
                <w:szCs w:val="18"/>
              </w:rPr>
              <w:t>w jednakowym kolorze co płaszcz zewnętrzny. Obrotowy. Mocowanie w systemie zatrzaskowym. Końcówka z ceramiczną izolacją</w:t>
            </w:r>
          </w:p>
        </w:tc>
        <w:tc>
          <w:tcPr>
            <w:tcW w:w="1362" w:type="dxa"/>
            <w:vAlign w:val="center"/>
          </w:tcPr>
          <w:p w14:paraId="0602DB69" w14:textId="515E18D9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</w:t>
            </w:r>
            <w:r>
              <w:rPr>
                <w:rFonts w:cstheme="minorHAnsi"/>
                <w:color w:val="000000"/>
                <w:sz w:val="18"/>
                <w:szCs w:val="18"/>
              </w:rPr>
              <w:t>ak</w:t>
            </w:r>
          </w:p>
        </w:tc>
        <w:tc>
          <w:tcPr>
            <w:tcW w:w="1559" w:type="dxa"/>
          </w:tcPr>
          <w:p w14:paraId="36A7F2B5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0BD3BD38" w14:textId="77777777" w:rsidTr="00A36720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C9C1619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B089C77" w14:textId="03365DD9" w:rsidR="00530BB7" w:rsidRPr="00530BB7" w:rsidRDefault="00530BB7" w:rsidP="00530BB7">
            <w:pPr>
              <w:widowControl w:val="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 xml:space="preserve">Okrągły płaszcz wewnętrzny, kompatybilny z płaszczem zewnętrznym zestawu. Płaszcz dedykowany do zestawu &lt;16,5 FR, dedykowany do histeroskopii. Płaszcz z kanałem roboczym 5 FR. Płaszcz z oznakowaniem kolorystycznym ułatwiającym składanie </w:t>
            </w:r>
            <w:r w:rsidRPr="00530BB7">
              <w:rPr>
                <w:rFonts w:cstheme="minorHAnsi"/>
                <w:color w:val="000000" w:themeColor="text1"/>
                <w:sz w:val="18"/>
                <w:szCs w:val="18"/>
              </w:rPr>
              <w:t>zestawu, w jednakowym kolorze co płaszcz zewnętrzny</w:t>
            </w:r>
            <w:r w:rsidRPr="00530BB7">
              <w:rPr>
                <w:rFonts w:cstheme="minorHAnsi"/>
                <w:color w:val="000000"/>
                <w:sz w:val="18"/>
                <w:szCs w:val="18"/>
              </w:rPr>
              <w:t>. Mocowanie w systemie zatrzaskowym.</w:t>
            </w:r>
          </w:p>
        </w:tc>
        <w:tc>
          <w:tcPr>
            <w:tcW w:w="1362" w:type="dxa"/>
            <w:vAlign w:val="center"/>
          </w:tcPr>
          <w:p w14:paraId="446763D6" w14:textId="5654CDCE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</w:t>
            </w:r>
            <w:r>
              <w:rPr>
                <w:rFonts w:cstheme="minorHAnsi"/>
                <w:color w:val="000000"/>
                <w:sz w:val="18"/>
                <w:szCs w:val="18"/>
              </w:rPr>
              <w:t>ak</w:t>
            </w:r>
          </w:p>
        </w:tc>
        <w:tc>
          <w:tcPr>
            <w:tcW w:w="1559" w:type="dxa"/>
            <w:tcBorders>
              <w:top w:val="nil"/>
            </w:tcBorders>
          </w:tcPr>
          <w:p w14:paraId="4D6DE414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14AF3BE3" w14:textId="77777777" w:rsidTr="00A36720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50EBAAD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11C5491" w14:textId="57BB0B6C" w:rsidR="00530BB7" w:rsidRPr="00530BB7" w:rsidRDefault="00530BB7" w:rsidP="00530BB7">
            <w:pPr>
              <w:widowControl w:val="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 xml:space="preserve">Duża elektroda pętlowa do zestawu </w:t>
            </w:r>
            <w:r w:rsidRPr="00530BB7">
              <w:rPr>
                <w:rFonts w:cstheme="minorHAnsi"/>
                <w:color w:val="000000" w:themeColor="text1"/>
                <w:sz w:val="18"/>
                <w:szCs w:val="18"/>
              </w:rPr>
              <w:t>&lt;16,5 FR</w:t>
            </w:r>
            <w:r w:rsidRPr="00530BB7">
              <w:rPr>
                <w:rFonts w:cstheme="minorHAnsi"/>
                <w:color w:val="000000"/>
                <w:sz w:val="18"/>
                <w:szCs w:val="18"/>
              </w:rPr>
              <w:t>, zagięta pod kątem 90 stopni, bipolarna, jednorazowa</w:t>
            </w:r>
          </w:p>
        </w:tc>
        <w:tc>
          <w:tcPr>
            <w:tcW w:w="1362" w:type="dxa"/>
            <w:vAlign w:val="center"/>
          </w:tcPr>
          <w:p w14:paraId="26E510B9" w14:textId="2C4CE4E7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</w:t>
            </w:r>
            <w:r>
              <w:rPr>
                <w:rFonts w:cstheme="minorHAnsi"/>
                <w:color w:val="000000"/>
                <w:sz w:val="18"/>
                <w:szCs w:val="18"/>
              </w:rPr>
              <w:t>ak</w:t>
            </w:r>
          </w:p>
        </w:tc>
        <w:tc>
          <w:tcPr>
            <w:tcW w:w="1559" w:type="dxa"/>
            <w:tcBorders>
              <w:top w:val="nil"/>
            </w:tcBorders>
          </w:tcPr>
          <w:p w14:paraId="3CBF5F13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24EDAC3C" w14:textId="77777777" w:rsidTr="00A36720">
        <w:trPr>
          <w:trHeight w:val="625"/>
        </w:trPr>
        <w:tc>
          <w:tcPr>
            <w:tcW w:w="851" w:type="dxa"/>
            <w:vAlign w:val="bottom"/>
          </w:tcPr>
          <w:p w14:paraId="21994118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F62F017" w14:textId="3DB213EA" w:rsidR="00530BB7" w:rsidRPr="00530BB7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 xml:space="preserve">Elektroda nożowa do zestawu </w:t>
            </w:r>
            <w:r w:rsidRPr="00530BB7">
              <w:rPr>
                <w:rFonts w:cstheme="minorHAnsi"/>
                <w:color w:val="000000" w:themeColor="text1"/>
                <w:sz w:val="18"/>
                <w:szCs w:val="18"/>
              </w:rPr>
              <w:t>&lt;16,5 FR</w:t>
            </w:r>
            <w:r w:rsidRPr="00530BB7">
              <w:rPr>
                <w:rFonts w:cstheme="minorHAnsi"/>
                <w:color w:val="000000"/>
                <w:sz w:val="18"/>
                <w:szCs w:val="18"/>
              </w:rPr>
              <w:t>, zagięta pod kątem 90 stopni, bipolarna, jednorazowa.</w:t>
            </w:r>
          </w:p>
        </w:tc>
        <w:tc>
          <w:tcPr>
            <w:tcW w:w="1362" w:type="dxa"/>
            <w:vAlign w:val="center"/>
          </w:tcPr>
          <w:p w14:paraId="61A168F0" w14:textId="2728AC16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</w:t>
            </w:r>
            <w:r>
              <w:rPr>
                <w:rFonts w:cstheme="minorHAnsi"/>
                <w:color w:val="000000"/>
                <w:sz w:val="18"/>
                <w:szCs w:val="18"/>
              </w:rPr>
              <w:t>ak</w:t>
            </w:r>
          </w:p>
        </w:tc>
        <w:tc>
          <w:tcPr>
            <w:tcW w:w="1559" w:type="dxa"/>
          </w:tcPr>
          <w:p w14:paraId="08439D14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71C91223" w14:textId="77777777" w:rsidTr="00A36720">
        <w:trPr>
          <w:trHeight w:val="625"/>
        </w:trPr>
        <w:tc>
          <w:tcPr>
            <w:tcW w:w="851" w:type="dxa"/>
            <w:vAlign w:val="bottom"/>
          </w:tcPr>
          <w:p w14:paraId="4CF53477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5EA9BAF" w14:textId="73B2D524" w:rsidR="00530BB7" w:rsidRPr="00530BB7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Elektroda pętlowa prosta do zestawu &lt;16,5 FR, równoległa do osi elektrody, bipolarna, jednorazowa.</w:t>
            </w:r>
          </w:p>
        </w:tc>
        <w:tc>
          <w:tcPr>
            <w:tcW w:w="1362" w:type="dxa"/>
            <w:vAlign w:val="center"/>
          </w:tcPr>
          <w:p w14:paraId="44637C57" w14:textId="1544D284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</w:t>
            </w:r>
            <w:r>
              <w:rPr>
                <w:rFonts w:cstheme="minorHAnsi"/>
                <w:color w:val="000000"/>
                <w:sz w:val="18"/>
                <w:szCs w:val="18"/>
              </w:rPr>
              <w:t>ak</w:t>
            </w:r>
          </w:p>
        </w:tc>
        <w:tc>
          <w:tcPr>
            <w:tcW w:w="1559" w:type="dxa"/>
          </w:tcPr>
          <w:p w14:paraId="37A5E182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4206BDDA" w14:textId="77777777" w:rsidTr="00A36720">
        <w:trPr>
          <w:trHeight w:val="625"/>
        </w:trPr>
        <w:tc>
          <w:tcPr>
            <w:tcW w:w="851" w:type="dxa"/>
            <w:vAlign w:val="bottom"/>
          </w:tcPr>
          <w:p w14:paraId="49C9C7B8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CFFB330" w14:textId="2EA7BDD1" w:rsidR="00530BB7" w:rsidRPr="00530BB7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Elektroda kulkowa do zestawu o średnicy &lt;16,5 FR, zagięta, bipolarna, jednorazowa.</w:t>
            </w:r>
          </w:p>
        </w:tc>
        <w:tc>
          <w:tcPr>
            <w:tcW w:w="1362" w:type="dxa"/>
            <w:vAlign w:val="center"/>
          </w:tcPr>
          <w:p w14:paraId="588A0E01" w14:textId="4FF1691F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</w:t>
            </w:r>
            <w:r>
              <w:rPr>
                <w:rFonts w:cstheme="minorHAnsi"/>
                <w:color w:val="000000"/>
                <w:sz w:val="18"/>
                <w:szCs w:val="18"/>
              </w:rPr>
              <w:t>ak</w:t>
            </w:r>
          </w:p>
        </w:tc>
        <w:tc>
          <w:tcPr>
            <w:tcW w:w="1559" w:type="dxa"/>
          </w:tcPr>
          <w:p w14:paraId="434826D6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04EA159E" w14:textId="77777777" w:rsidTr="00A36720">
        <w:trPr>
          <w:trHeight w:val="625"/>
        </w:trPr>
        <w:tc>
          <w:tcPr>
            <w:tcW w:w="851" w:type="dxa"/>
            <w:vAlign w:val="bottom"/>
          </w:tcPr>
          <w:p w14:paraId="17AE336F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F7D7A2" w14:textId="7429B897" w:rsidR="00530BB7" w:rsidRPr="00530BB7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 xml:space="preserve">Światłowód wzmacniany w częściach dystalnych, łączenia </w:t>
            </w:r>
            <w:proofErr w:type="spellStart"/>
            <w:r w:rsidRPr="00530BB7">
              <w:rPr>
                <w:rFonts w:cstheme="minorHAnsi"/>
                <w:color w:val="000000"/>
                <w:sz w:val="18"/>
                <w:szCs w:val="18"/>
              </w:rPr>
              <w:t>bezklejowe</w:t>
            </w:r>
            <w:proofErr w:type="spellEnd"/>
            <w:r w:rsidRPr="00530BB7">
              <w:rPr>
                <w:rFonts w:cstheme="minorHAnsi"/>
                <w:color w:val="000000"/>
                <w:sz w:val="18"/>
                <w:szCs w:val="18"/>
              </w:rPr>
              <w:t xml:space="preserve">. Długość światłowodu </w:t>
            </w:r>
            <w:r w:rsidRPr="00530BB7">
              <w:rPr>
                <w:rFonts w:cstheme="minorHAnsi"/>
                <w:color w:val="000000" w:themeColor="text1"/>
                <w:sz w:val="18"/>
                <w:szCs w:val="18"/>
              </w:rPr>
              <w:t>min. 230 cm</w:t>
            </w:r>
            <w:r w:rsidRPr="00530BB7">
              <w:rPr>
                <w:rFonts w:cstheme="minorHAnsi"/>
                <w:color w:val="000000"/>
                <w:sz w:val="18"/>
                <w:szCs w:val="18"/>
              </w:rPr>
              <w:t>. Wyposażony w dwa adaptery umożliwiające połączenie optyki zestawu, ze źródłem światła.</w:t>
            </w:r>
          </w:p>
        </w:tc>
        <w:tc>
          <w:tcPr>
            <w:tcW w:w="1362" w:type="dxa"/>
            <w:vAlign w:val="center"/>
          </w:tcPr>
          <w:p w14:paraId="0F181F12" w14:textId="1E654A82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</w:t>
            </w:r>
            <w:r>
              <w:rPr>
                <w:rFonts w:cstheme="minorHAnsi"/>
                <w:color w:val="000000"/>
                <w:sz w:val="18"/>
                <w:szCs w:val="18"/>
              </w:rPr>
              <w:t>ak</w:t>
            </w:r>
          </w:p>
        </w:tc>
        <w:tc>
          <w:tcPr>
            <w:tcW w:w="1559" w:type="dxa"/>
          </w:tcPr>
          <w:p w14:paraId="2B6CB860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4174A94D" w14:textId="77777777" w:rsidTr="00A36720">
        <w:trPr>
          <w:trHeight w:val="625"/>
        </w:trPr>
        <w:tc>
          <w:tcPr>
            <w:tcW w:w="851" w:type="dxa"/>
            <w:vAlign w:val="bottom"/>
          </w:tcPr>
          <w:p w14:paraId="234C009A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5BFE23F" w14:textId="7F9B657F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Przewód bipolarny umożliwiający połączenie elementu roboczego zestawu z diatermią ERBE VIO 300D lub nowszą, z wtykiem MF, posiadaną przez Zamawiającego</w:t>
            </w:r>
          </w:p>
        </w:tc>
        <w:tc>
          <w:tcPr>
            <w:tcW w:w="1362" w:type="dxa"/>
            <w:vAlign w:val="center"/>
          </w:tcPr>
          <w:p w14:paraId="1D575D9C" w14:textId="1A17B941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</w:t>
            </w:r>
            <w:r>
              <w:rPr>
                <w:rFonts w:cstheme="minorHAnsi"/>
                <w:color w:val="000000"/>
                <w:sz w:val="18"/>
                <w:szCs w:val="18"/>
              </w:rPr>
              <w:t>ak</w:t>
            </w:r>
          </w:p>
        </w:tc>
        <w:tc>
          <w:tcPr>
            <w:tcW w:w="1559" w:type="dxa"/>
          </w:tcPr>
          <w:p w14:paraId="3BAEF187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065FAAF9" w14:textId="77777777" w:rsidTr="00A36720">
        <w:trPr>
          <w:trHeight w:val="625"/>
        </w:trPr>
        <w:tc>
          <w:tcPr>
            <w:tcW w:w="851" w:type="dxa"/>
            <w:vAlign w:val="bottom"/>
          </w:tcPr>
          <w:p w14:paraId="338FBFF9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CC4747F" w14:textId="0791C807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 xml:space="preserve">Pojemnik do sterylizacji i przechowywania zestawu. Stalowy, perforowany dedykowany do zestawu. Pojemnik wyposażony w uchwyty na części zestawu, zapewniające unieruchomienie i zabezpieczenie wszystkich podzespołów zestawu. Kosz blokowany od góry. Wymiary: </w:t>
            </w:r>
            <w:r w:rsidRPr="00530BB7">
              <w:rPr>
                <w:rFonts w:cstheme="minorHAnsi"/>
                <w:color w:val="000000" w:themeColor="text1"/>
                <w:sz w:val="18"/>
                <w:szCs w:val="18"/>
              </w:rPr>
              <w:t xml:space="preserve">500x250x80 mm </w:t>
            </w:r>
            <w:r w:rsidRPr="00530BB7">
              <w:rPr>
                <w:rFonts w:cstheme="minorHAnsi"/>
                <w:color w:val="000000"/>
                <w:sz w:val="18"/>
                <w:szCs w:val="18"/>
              </w:rPr>
              <w:t>+/-5%.</w:t>
            </w:r>
          </w:p>
        </w:tc>
        <w:tc>
          <w:tcPr>
            <w:tcW w:w="1362" w:type="dxa"/>
            <w:vAlign w:val="center"/>
          </w:tcPr>
          <w:p w14:paraId="07B5F918" w14:textId="6798AA1E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</w:t>
            </w:r>
            <w:r>
              <w:rPr>
                <w:rFonts w:cstheme="minorHAnsi"/>
                <w:color w:val="000000"/>
                <w:sz w:val="18"/>
                <w:szCs w:val="18"/>
              </w:rPr>
              <w:t>ak</w:t>
            </w:r>
          </w:p>
        </w:tc>
        <w:tc>
          <w:tcPr>
            <w:tcW w:w="1559" w:type="dxa"/>
          </w:tcPr>
          <w:p w14:paraId="6B21AFBC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46CF7983" w14:textId="77777777" w:rsidTr="00A36720">
        <w:trPr>
          <w:trHeight w:val="625"/>
        </w:trPr>
        <w:tc>
          <w:tcPr>
            <w:tcW w:w="851" w:type="dxa"/>
            <w:vAlign w:val="bottom"/>
          </w:tcPr>
          <w:p w14:paraId="1F2EC6AF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088F233" w14:textId="7EB37700" w:rsidR="00530BB7" w:rsidRPr="00530BB7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  <w:proofErr w:type="spellStart"/>
            <w:r w:rsidRPr="00530BB7">
              <w:rPr>
                <w:rFonts w:cstheme="minorHAnsi"/>
                <w:color w:val="000000"/>
                <w:sz w:val="18"/>
                <w:szCs w:val="18"/>
              </w:rPr>
              <w:t>Autoklawowalne</w:t>
            </w:r>
            <w:proofErr w:type="spellEnd"/>
            <w:r w:rsidRPr="00530BB7">
              <w:rPr>
                <w:rFonts w:cstheme="minorHAnsi"/>
                <w:color w:val="000000"/>
                <w:sz w:val="18"/>
                <w:szCs w:val="18"/>
              </w:rPr>
              <w:t>, wykonane z tworzywa sztucznego zabezpieczenie optyki zestawu. Przeznaczone do optyk o średnicy 2-10 mm.</w:t>
            </w:r>
          </w:p>
        </w:tc>
        <w:tc>
          <w:tcPr>
            <w:tcW w:w="1362" w:type="dxa"/>
            <w:vAlign w:val="center"/>
          </w:tcPr>
          <w:p w14:paraId="00C08B70" w14:textId="6875622B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</w:t>
            </w:r>
            <w:r>
              <w:rPr>
                <w:rFonts w:cstheme="minorHAnsi"/>
                <w:color w:val="000000"/>
                <w:sz w:val="18"/>
                <w:szCs w:val="18"/>
              </w:rPr>
              <w:t>ak</w:t>
            </w:r>
          </w:p>
        </w:tc>
        <w:tc>
          <w:tcPr>
            <w:tcW w:w="1559" w:type="dxa"/>
          </w:tcPr>
          <w:p w14:paraId="75B1F34B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42F84553" w14:textId="77777777" w:rsidTr="00A36720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20755FF2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1EE9A15" w14:textId="45E93FA0" w:rsidR="00530BB7" w:rsidRPr="00530BB7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530BB7">
              <w:rPr>
                <w:rFonts w:cstheme="minorHAnsi"/>
                <w:color w:val="000000" w:themeColor="text1"/>
                <w:sz w:val="18"/>
                <w:szCs w:val="18"/>
              </w:rPr>
              <w:t xml:space="preserve">Funkcjonalny, łatwy w użytkowania i minimalnie traumatyzujący tkanki system umożliwiający wykonania znieczulenia domacicznego. Marker na uchwycie pozwalający na wzrokową kontrolę czy igła jest w pozycji wysuniętej, czy bezpiecznej. System stanowi część zestawu histeroskopowego. Dedykowany do zabiegów </w:t>
            </w:r>
            <w:proofErr w:type="spellStart"/>
            <w:r w:rsidRPr="00530BB7">
              <w:rPr>
                <w:rFonts w:cstheme="minorHAnsi"/>
                <w:color w:val="000000" w:themeColor="text1"/>
                <w:sz w:val="18"/>
                <w:szCs w:val="18"/>
              </w:rPr>
              <w:t>endoginekologicznych</w:t>
            </w:r>
            <w:proofErr w:type="spellEnd"/>
            <w:r w:rsidRPr="00530BB7">
              <w:rPr>
                <w:rFonts w:cstheme="minorHAnsi"/>
                <w:color w:val="000000" w:themeColor="text1"/>
                <w:sz w:val="18"/>
                <w:szCs w:val="18"/>
              </w:rPr>
              <w:t>. Średnica igły 19G +/- 10%, długość 280 mm +/- 5%. Końcówka igły wyposażona w część zabezpieczającą ostrze celem uniknięcia traumatyzacji.</w:t>
            </w:r>
          </w:p>
        </w:tc>
        <w:tc>
          <w:tcPr>
            <w:tcW w:w="1362" w:type="dxa"/>
            <w:vAlign w:val="center"/>
          </w:tcPr>
          <w:p w14:paraId="499A094B" w14:textId="24272AC7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5637124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168DD1CD" w14:textId="77777777" w:rsidTr="00A36720">
        <w:trPr>
          <w:trHeight w:val="625"/>
        </w:trPr>
        <w:tc>
          <w:tcPr>
            <w:tcW w:w="851" w:type="dxa"/>
            <w:vAlign w:val="bottom"/>
          </w:tcPr>
          <w:p w14:paraId="4988536C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F54103" w14:textId="203AA416" w:rsidR="00530BB7" w:rsidRPr="00530BB7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Możliwość wykonywania zabiegów przy pomocy elektrod bezprądowych, umożliwiających wyłuszczenie patologicznych zmian.</w:t>
            </w:r>
          </w:p>
        </w:tc>
        <w:tc>
          <w:tcPr>
            <w:tcW w:w="1362" w:type="dxa"/>
            <w:vAlign w:val="center"/>
          </w:tcPr>
          <w:p w14:paraId="14CBBD59" w14:textId="0DA0D256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72BCE14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1CF5A3F9" w14:textId="77777777" w:rsidTr="00A36720">
        <w:trPr>
          <w:trHeight w:val="625"/>
        </w:trPr>
        <w:tc>
          <w:tcPr>
            <w:tcW w:w="851" w:type="dxa"/>
            <w:vAlign w:val="bottom"/>
          </w:tcPr>
          <w:p w14:paraId="1F24D8E3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3A141EC" w14:textId="691E463F" w:rsidR="00530BB7" w:rsidRPr="00530BB7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530BB7">
              <w:rPr>
                <w:rFonts w:cstheme="minorHAnsi"/>
                <w:sz w:val="18"/>
                <w:szCs w:val="18"/>
              </w:rPr>
              <w:t xml:space="preserve">Kleszczyki biopsyjne, </w:t>
            </w:r>
            <w:proofErr w:type="spellStart"/>
            <w:r w:rsidRPr="00530BB7">
              <w:rPr>
                <w:rFonts w:cstheme="minorHAnsi"/>
                <w:sz w:val="18"/>
                <w:szCs w:val="18"/>
              </w:rPr>
              <w:t>łyżeczkowe</w:t>
            </w:r>
            <w:proofErr w:type="spellEnd"/>
            <w:r w:rsidRPr="00530BB7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530BB7">
              <w:rPr>
                <w:rFonts w:cstheme="minorHAnsi"/>
                <w:sz w:val="18"/>
                <w:szCs w:val="18"/>
              </w:rPr>
              <w:t>pólsztywne</w:t>
            </w:r>
            <w:proofErr w:type="spellEnd"/>
            <w:r w:rsidRPr="00530BB7">
              <w:rPr>
                <w:rFonts w:cstheme="minorHAnsi"/>
                <w:sz w:val="18"/>
                <w:szCs w:val="18"/>
              </w:rPr>
              <w:t xml:space="preserve">, obie </w:t>
            </w:r>
            <w:proofErr w:type="spellStart"/>
            <w:r w:rsidRPr="00530BB7">
              <w:rPr>
                <w:rFonts w:cstheme="minorHAnsi"/>
                <w:sz w:val="18"/>
                <w:szCs w:val="18"/>
              </w:rPr>
              <w:t>bransze</w:t>
            </w:r>
            <w:proofErr w:type="spellEnd"/>
            <w:r w:rsidRPr="00530BB7">
              <w:rPr>
                <w:rFonts w:cstheme="minorHAnsi"/>
                <w:sz w:val="18"/>
                <w:szCs w:val="18"/>
              </w:rPr>
              <w:t xml:space="preserve"> aktywne, narzędzie z kanałem płuczącym i ze złączem LUER-LOCK,  śr.5 FR +/- 5%, dł. 340 mm +/- 10%</w:t>
            </w:r>
            <w:r>
              <w:rPr>
                <w:rFonts w:cstheme="minorHAnsi"/>
                <w:sz w:val="18"/>
                <w:szCs w:val="18"/>
              </w:rPr>
              <w:t xml:space="preserve"> - 2 szt.</w:t>
            </w:r>
          </w:p>
        </w:tc>
        <w:tc>
          <w:tcPr>
            <w:tcW w:w="1362" w:type="dxa"/>
            <w:vAlign w:val="center"/>
          </w:tcPr>
          <w:p w14:paraId="6DB1F000" w14:textId="77777777" w:rsidR="00530BB7" w:rsidRPr="00530BB7" w:rsidRDefault="00530BB7" w:rsidP="00530BB7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3C6AE32F" w14:textId="5E512A22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6B9A63DA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6AA1AEC1" w14:textId="77777777" w:rsidTr="00A36720">
        <w:trPr>
          <w:trHeight w:val="625"/>
        </w:trPr>
        <w:tc>
          <w:tcPr>
            <w:tcW w:w="851" w:type="dxa"/>
            <w:vAlign w:val="bottom"/>
          </w:tcPr>
          <w:p w14:paraId="42812005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EB62EF0" w14:textId="44FB535C" w:rsidR="00530BB7" w:rsidRPr="00530BB7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 xml:space="preserve">Nożyczki histeroskopowe, półsztywne, ostro zakończone, jedna </w:t>
            </w:r>
            <w:proofErr w:type="spellStart"/>
            <w:r w:rsidRPr="00530BB7">
              <w:rPr>
                <w:rFonts w:cstheme="minorHAnsi"/>
                <w:color w:val="000000"/>
                <w:sz w:val="18"/>
                <w:szCs w:val="18"/>
              </w:rPr>
              <w:t>bransza</w:t>
            </w:r>
            <w:proofErr w:type="spellEnd"/>
            <w:r w:rsidRPr="00530BB7">
              <w:rPr>
                <w:rFonts w:cstheme="minorHAnsi"/>
                <w:color w:val="000000"/>
                <w:sz w:val="18"/>
                <w:szCs w:val="18"/>
              </w:rPr>
              <w:t xml:space="preserve"> ruchoma, śr.1,6 mm. +/- 5% , dł. 340 mm +/- 10%, pogrubienie części roboczej w odcinku dystalnym oraz proksymalnym</w:t>
            </w:r>
          </w:p>
        </w:tc>
        <w:tc>
          <w:tcPr>
            <w:tcW w:w="1362" w:type="dxa"/>
            <w:vAlign w:val="center"/>
          </w:tcPr>
          <w:p w14:paraId="6ACA372F" w14:textId="77777777" w:rsidR="00530BB7" w:rsidRPr="00530BB7" w:rsidRDefault="00530BB7" w:rsidP="00530BB7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5E33A632" w14:textId="6AB4084C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7E7BB37D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5AAA21A9" w14:textId="77777777" w:rsidTr="00A36720">
        <w:trPr>
          <w:trHeight w:val="625"/>
        </w:trPr>
        <w:tc>
          <w:tcPr>
            <w:tcW w:w="851" w:type="dxa"/>
            <w:vAlign w:val="bottom"/>
          </w:tcPr>
          <w:p w14:paraId="0BB884AC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0C67FCB" w14:textId="7F395A15" w:rsidR="00530BB7" w:rsidRPr="00530BB7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Kleszczyki chwytno-</w:t>
            </w:r>
            <w:proofErr w:type="spellStart"/>
            <w:r w:rsidRPr="00530BB7">
              <w:rPr>
                <w:rFonts w:cstheme="minorHAnsi"/>
                <w:color w:val="000000"/>
                <w:sz w:val="18"/>
                <w:szCs w:val="18"/>
              </w:rPr>
              <w:t>biposyjne</w:t>
            </w:r>
            <w:proofErr w:type="spellEnd"/>
            <w:r w:rsidRPr="00530BB7">
              <w:rPr>
                <w:rFonts w:cstheme="minorHAnsi"/>
                <w:color w:val="000000"/>
                <w:sz w:val="18"/>
                <w:szCs w:val="18"/>
              </w:rPr>
              <w:t xml:space="preserve"> typu: ALIGATOR, półsztywne, tępo zakończone, jedna </w:t>
            </w:r>
            <w:proofErr w:type="spellStart"/>
            <w:r w:rsidRPr="00530BB7">
              <w:rPr>
                <w:rFonts w:cstheme="minorHAnsi"/>
                <w:color w:val="000000"/>
                <w:sz w:val="18"/>
                <w:szCs w:val="18"/>
              </w:rPr>
              <w:t>bransza</w:t>
            </w:r>
            <w:proofErr w:type="spellEnd"/>
            <w:r w:rsidRPr="00530BB7">
              <w:rPr>
                <w:rFonts w:cstheme="minorHAnsi"/>
                <w:color w:val="000000"/>
                <w:sz w:val="18"/>
                <w:szCs w:val="18"/>
              </w:rPr>
              <w:t xml:space="preserve"> ruchoma, śr. 5 Fr +/- 5%, dł. 340 mm +/- 10%, pogrubienie części roboczej w odcinku dystalnym oraz proksymalnym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– 2 szt.</w:t>
            </w:r>
          </w:p>
        </w:tc>
        <w:tc>
          <w:tcPr>
            <w:tcW w:w="1362" w:type="dxa"/>
            <w:vAlign w:val="center"/>
          </w:tcPr>
          <w:p w14:paraId="17AF4020" w14:textId="77777777" w:rsidR="00530BB7" w:rsidRPr="00530BB7" w:rsidRDefault="00530BB7" w:rsidP="00530BB7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1A216943" w14:textId="393BD069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0ECFF301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530BB7" w:rsidRPr="003B799C" w14:paraId="41F66B52" w14:textId="77777777" w:rsidTr="00A36720">
        <w:trPr>
          <w:trHeight w:val="625"/>
        </w:trPr>
        <w:tc>
          <w:tcPr>
            <w:tcW w:w="851" w:type="dxa"/>
            <w:vAlign w:val="bottom"/>
          </w:tcPr>
          <w:p w14:paraId="6F7C6DC4" w14:textId="77777777" w:rsidR="00530BB7" w:rsidRPr="003B799C" w:rsidRDefault="00530BB7" w:rsidP="00530BB7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38BD93D" w14:textId="0BED0E5E" w:rsidR="00530BB7" w:rsidRPr="00530BB7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 xml:space="preserve">Kleszcze typu </w:t>
            </w:r>
            <w:proofErr w:type="spellStart"/>
            <w:r w:rsidRPr="00530BB7">
              <w:rPr>
                <w:rFonts w:cstheme="minorHAnsi"/>
                <w:color w:val="000000"/>
                <w:sz w:val="18"/>
                <w:szCs w:val="18"/>
              </w:rPr>
              <w:t>kulociąg</w:t>
            </w:r>
            <w:proofErr w:type="spellEnd"/>
            <w:r w:rsidRPr="00530BB7">
              <w:rPr>
                <w:rFonts w:cstheme="minorHAnsi"/>
                <w:color w:val="000000"/>
                <w:sz w:val="18"/>
                <w:szCs w:val="18"/>
              </w:rPr>
              <w:t xml:space="preserve"> do histeroskopii, półsztywne, obie </w:t>
            </w:r>
            <w:proofErr w:type="spellStart"/>
            <w:r w:rsidRPr="00530BB7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530BB7">
              <w:rPr>
                <w:rFonts w:cstheme="minorHAnsi"/>
                <w:color w:val="000000"/>
                <w:sz w:val="18"/>
                <w:szCs w:val="18"/>
              </w:rPr>
              <w:t xml:space="preserve"> ruchome, narzędzie z kanałem płuczącym oraz ze złączem LUER-LOCK, śr.5 Fr +/- 5%, dł. 340mm +/- 10%</w:t>
            </w:r>
          </w:p>
        </w:tc>
        <w:tc>
          <w:tcPr>
            <w:tcW w:w="1362" w:type="dxa"/>
            <w:vAlign w:val="center"/>
          </w:tcPr>
          <w:p w14:paraId="46B71C3E" w14:textId="77777777" w:rsidR="00530BB7" w:rsidRPr="00530BB7" w:rsidRDefault="00530BB7" w:rsidP="00530BB7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7719B553" w14:textId="79C35707" w:rsidR="00530BB7" w:rsidRPr="00530BB7" w:rsidRDefault="00530BB7" w:rsidP="00530BB7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530BB7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304E2BE3" w14:textId="77777777" w:rsidR="00530BB7" w:rsidRPr="003B799C" w:rsidRDefault="00530BB7" w:rsidP="00530BB7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792A4777" w14:textId="6604A8BF" w:rsidR="00163F85" w:rsidRPr="003B799C" w:rsidRDefault="00163F85" w:rsidP="00163F85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5BCAA5CA" w14:textId="77777777" w:rsidR="00163F85" w:rsidRPr="003B799C" w:rsidRDefault="00163F85" w:rsidP="00163F85">
      <w:pPr>
        <w:spacing w:after="0" w:line="240" w:lineRule="auto"/>
        <w:rPr>
          <w:rFonts w:cstheme="minorHAnsi"/>
          <w:b/>
          <w:sz w:val="18"/>
          <w:szCs w:val="18"/>
        </w:rPr>
      </w:pPr>
    </w:p>
    <w:sectPr w:rsidR="00163F85" w:rsidRPr="003B799C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6FE9" w14:textId="77777777" w:rsidR="00DA5901" w:rsidRDefault="00DA5901" w:rsidP="005773F2">
      <w:pPr>
        <w:spacing w:after="0" w:line="240" w:lineRule="auto"/>
      </w:pPr>
      <w:r>
        <w:separator/>
      </w:r>
    </w:p>
  </w:endnote>
  <w:endnote w:type="continuationSeparator" w:id="0">
    <w:p w14:paraId="2B3338C2" w14:textId="77777777" w:rsidR="00DA5901" w:rsidRDefault="00DA590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47F3" w14:textId="77777777" w:rsidR="00DA5901" w:rsidRDefault="00DA5901" w:rsidP="005773F2">
      <w:pPr>
        <w:spacing w:after="0" w:line="240" w:lineRule="auto"/>
      </w:pPr>
      <w:r>
        <w:separator/>
      </w:r>
    </w:p>
  </w:footnote>
  <w:footnote w:type="continuationSeparator" w:id="0">
    <w:p w14:paraId="468A5E02" w14:textId="77777777" w:rsidR="00DA5901" w:rsidRDefault="00DA590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433D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D5F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91DFA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1" w15:restartNumberingAfterBreak="0">
    <w:nsid w:val="4C2D24B3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4"/>
  </w:num>
  <w:num w:numId="4">
    <w:abstractNumId w:val="19"/>
  </w:num>
  <w:num w:numId="5">
    <w:abstractNumId w:val="20"/>
  </w:num>
  <w:num w:numId="6">
    <w:abstractNumId w:val="25"/>
  </w:num>
  <w:num w:numId="7">
    <w:abstractNumId w:val="15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3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26"/>
  </w:num>
  <w:num w:numId="24">
    <w:abstractNumId w:val="5"/>
  </w:num>
  <w:num w:numId="25">
    <w:abstractNumId w:val="21"/>
  </w:num>
  <w:num w:numId="26">
    <w:abstractNumId w:val="14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46AAA"/>
    <w:rsid w:val="00163F85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6403"/>
    <w:rsid w:val="002A0F87"/>
    <w:rsid w:val="002C3F24"/>
    <w:rsid w:val="003031E4"/>
    <w:rsid w:val="0033194F"/>
    <w:rsid w:val="00376DFC"/>
    <w:rsid w:val="003951BC"/>
    <w:rsid w:val="003A55B9"/>
    <w:rsid w:val="003B3092"/>
    <w:rsid w:val="003B799C"/>
    <w:rsid w:val="003C4E7F"/>
    <w:rsid w:val="003E5E3B"/>
    <w:rsid w:val="00413560"/>
    <w:rsid w:val="00440DEC"/>
    <w:rsid w:val="00446E53"/>
    <w:rsid w:val="004524D0"/>
    <w:rsid w:val="00475E32"/>
    <w:rsid w:val="00480BB5"/>
    <w:rsid w:val="0049708B"/>
    <w:rsid w:val="004E3F0A"/>
    <w:rsid w:val="004E5221"/>
    <w:rsid w:val="004E64FE"/>
    <w:rsid w:val="004F16DD"/>
    <w:rsid w:val="00520603"/>
    <w:rsid w:val="00530BB7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5046D"/>
    <w:rsid w:val="006818FD"/>
    <w:rsid w:val="00682D63"/>
    <w:rsid w:val="0068521B"/>
    <w:rsid w:val="006B2931"/>
    <w:rsid w:val="006C7BCE"/>
    <w:rsid w:val="006E2FA0"/>
    <w:rsid w:val="006E5705"/>
    <w:rsid w:val="00704C86"/>
    <w:rsid w:val="00714ACD"/>
    <w:rsid w:val="007253CB"/>
    <w:rsid w:val="007263B7"/>
    <w:rsid w:val="00741B71"/>
    <w:rsid w:val="0078289C"/>
    <w:rsid w:val="007A3275"/>
    <w:rsid w:val="007A6A60"/>
    <w:rsid w:val="00836BD7"/>
    <w:rsid w:val="008434F4"/>
    <w:rsid w:val="0084686D"/>
    <w:rsid w:val="00847BD0"/>
    <w:rsid w:val="00854600"/>
    <w:rsid w:val="008613E3"/>
    <w:rsid w:val="00861C06"/>
    <w:rsid w:val="008664B7"/>
    <w:rsid w:val="0088593E"/>
    <w:rsid w:val="008A088B"/>
    <w:rsid w:val="008C118F"/>
    <w:rsid w:val="008D1C57"/>
    <w:rsid w:val="008D5510"/>
    <w:rsid w:val="00927E7A"/>
    <w:rsid w:val="00932262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B1E61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A76ED"/>
    <w:rsid w:val="00CC5E54"/>
    <w:rsid w:val="00CE3931"/>
    <w:rsid w:val="00CE6491"/>
    <w:rsid w:val="00D41179"/>
    <w:rsid w:val="00D426E6"/>
    <w:rsid w:val="00D56603"/>
    <w:rsid w:val="00D57CBC"/>
    <w:rsid w:val="00D675CE"/>
    <w:rsid w:val="00DA5901"/>
    <w:rsid w:val="00DC1778"/>
    <w:rsid w:val="00E22D7B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2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851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17</cp:revision>
  <cp:lastPrinted>2023-08-02T05:24:00Z</cp:lastPrinted>
  <dcterms:created xsi:type="dcterms:W3CDTF">2023-08-02T05:47:00Z</dcterms:created>
  <dcterms:modified xsi:type="dcterms:W3CDTF">2024-09-26T05:43:00Z</dcterms:modified>
</cp:coreProperties>
</file>