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C2" w:rsidRPr="00673A57" w:rsidRDefault="000364C2" w:rsidP="000364C2">
      <w:pPr>
        <w:spacing w:after="0"/>
        <w:rPr>
          <w:b/>
          <w:i/>
        </w:rPr>
      </w:pPr>
      <w:r w:rsidRPr="00673A57">
        <w:rPr>
          <w:b/>
          <w:i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6F9978" wp14:editId="175F63EB">
                <wp:simplePos x="0" y="0"/>
                <wp:positionH relativeFrom="column">
                  <wp:posOffset>3938270</wp:posOffset>
                </wp:positionH>
                <wp:positionV relativeFrom="page">
                  <wp:posOffset>819150</wp:posOffset>
                </wp:positionV>
                <wp:extent cx="2162175" cy="14763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C2" w:rsidRPr="00673A57" w:rsidRDefault="000364C2" w:rsidP="00B9551E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673A57">
                              <w:rPr>
                                <w:b/>
                                <w:i/>
                              </w:rPr>
                              <w:t>Wykonawca:</w:t>
                            </w:r>
                          </w:p>
                          <w:p w:rsidR="00B9551E" w:rsidRDefault="00B9551E" w:rsidP="00B9551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F997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0.1pt;margin-top:64.5pt;width:170.25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ZctJgIAACMEAAAOAAAAZHJzL2Uyb0RvYy54bWysU9tu2zAMfR+wfxD0vjj2cmmNOEWXLsOA&#10;bivQ7QNkWY6FSqImKbGzry8lp2m2vQ3zg0Ca5NHhIbW6GbQiB+G8BFPRfDKlRBgOjTS7iv74vn13&#10;RYkPzDRMgREVPQpPb9Zv36x6W4oCOlCNcARBjC97W9EuBFtmmeed0MxPwAqDwRacZgFdt8sax3pE&#10;1yorptNF1oNrrAMuvMe/d2OQrhN+2woevrWtF4GoiiK3kE6Xzjqe2XrFyp1jtpP8RIP9AwvNpMFL&#10;z1B3LDCyd/IvKC25Aw9tmHDQGbSt5CL1gN3k0z+6eeyYFakXFMfbs0z+/8Hyr4cHR2RT0SJfUmKY&#10;xiE9gBIkiCcfoBekiCL11peY+2gxOwwfYMBhp4a9vQf+5ImBTcfMTtw6B30nWIMk81iZXZSOOD6C&#10;1P0XaPAutg+QgIbW6aggakIQHYd1PA9IDIFw/FnkC6Q5p4RjLJ8tF+/RiXew8qXcOh8+CdAkGhV1&#10;uAEJnh3ufRhTX1LibR6UbLZSqeS4Xb1RjhwYbss2fSf039KUIX1Fr+fFPCEbiPUIzUotA26zkrqi&#10;V9P4xXJWRjk+mibZgUk12khamZM+UZJRnDDUAyZG0WpojqiUg3Fr8ZWh0YH7RUmPG1tR/3PPnKBE&#10;fTao9nU+m8UVT85svizQcZeR+jLCDEeoigZKRnMT0rOIfA3c4lRamfR6ZXLiipuYFD+9mrjql37K&#10;en3b62cAAAD//wMAUEsDBBQABgAIAAAAIQB4cVuA3wAAAAsBAAAPAAAAZHJzL2Rvd25yZXYueG1s&#10;TI9BTsMwEEX3SNzBGiQ2iDoN1CEhTgVIILYtPcAkniYRsR3FbpPenmEFy9F/+vN+uV3sIM40hd47&#10;DetVAoJc403vWg2Hr/f7JxAhojM4eEcaLhRgW11flVgYP7sdnfexFVziQoEauhjHQsrQdGQxrPxI&#10;jrOjnyxGPqdWmglnLreDTJNESYu94w8djvTWUfO9P1kNx8/5bpPP9Uc8ZLtH9Yp9VvuL1rc3y8sz&#10;iEhL/IPhV5/VoWKn2p+cCWLQoNIkZZSDNOdRTOQqyUDUGh7UegOyKuX/DdUPAAAA//8DAFBLAQIt&#10;ABQABgAIAAAAIQC2gziS/gAAAOEBAAATAAAAAAAAAAAAAAAAAAAAAABbQ29udGVudF9UeXBlc10u&#10;eG1sUEsBAi0AFAAGAAgAAAAhADj9If/WAAAAlAEAAAsAAAAAAAAAAAAAAAAALwEAAF9yZWxzLy5y&#10;ZWxzUEsBAi0AFAAGAAgAAAAhAEjZly0mAgAAIwQAAA4AAAAAAAAAAAAAAAAALgIAAGRycy9lMm9E&#10;b2MueG1sUEsBAi0AFAAGAAgAAAAhAHhxW4DfAAAACwEAAA8AAAAAAAAAAAAAAAAAgAQAAGRycy9k&#10;b3ducmV2LnhtbFBLBQYAAAAABAAEAPMAAACMBQAAAAA=&#10;" stroked="f">
                <v:textbox>
                  <w:txbxContent>
                    <w:p w:rsidR="000364C2" w:rsidRPr="00673A57" w:rsidRDefault="000364C2" w:rsidP="00B9551E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673A57">
                        <w:rPr>
                          <w:b/>
                          <w:i/>
                        </w:rPr>
                        <w:t>Wykonawca:</w:t>
                      </w:r>
                    </w:p>
                    <w:p w:rsidR="00B9551E" w:rsidRDefault="00B9551E" w:rsidP="00B9551E">
                      <w:pPr>
                        <w:spacing w:after="0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73A57">
        <w:rPr>
          <w:b/>
          <w:i/>
        </w:rPr>
        <w:t xml:space="preserve">Zamawiający: </w:t>
      </w:r>
    </w:p>
    <w:p w:rsidR="000364C2" w:rsidRDefault="000364C2" w:rsidP="000364C2">
      <w:pPr>
        <w:spacing w:after="0"/>
      </w:pPr>
      <w:r>
        <w:t>32. Wojskowy Odział Gospodarczy</w:t>
      </w:r>
    </w:p>
    <w:p w:rsidR="000364C2" w:rsidRDefault="000364C2" w:rsidP="000364C2">
      <w:pPr>
        <w:spacing w:after="0"/>
      </w:pPr>
      <w:r>
        <w:t>Ul. Wojska Polskiego 2F</w:t>
      </w:r>
    </w:p>
    <w:p w:rsidR="000364C2" w:rsidRDefault="000364C2" w:rsidP="000364C2">
      <w:pPr>
        <w:spacing w:after="0"/>
      </w:pPr>
      <w:r>
        <w:t>22 – 400 Zamość</w:t>
      </w:r>
    </w:p>
    <w:p w:rsidR="000364C2" w:rsidRDefault="000364C2" w:rsidP="000364C2">
      <w:pPr>
        <w:spacing w:after="0"/>
      </w:pPr>
      <w:r>
        <w:t>NIP 922-304-63-57</w:t>
      </w:r>
    </w:p>
    <w:p w:rsidR="000364C2" w:rsidRDefault="000364C2" w:rsidP="000364C2">
      <w:pPr>
        <w:spacing w:after="0"/>
      </w:pPr>
      <w:r>
        <w:t>REGON 061402337</w:t>
      </w:r>
    </w:p>
    <w:p w:rsidR="000364C2" w:rsidRDefault="002469B9" w:rsidP="000364C2">
      <w:pPr>
        <w:spacing w:after="0"/>
      </w:pPr>
      <w:r>
        <w:t>Tel. 261</w:t>
      </w:r>
      <w:r w:rsidR="002F60ED">
        <w:t> </w:t>
      </w:r>
      <w:r>
        <w:t>181</w:t>
      </w:r>
      <w:r w:rsidR="002F60ED">
        <w:t xml:space="preserve"> </w:t>
      </w:r>
      <w:r>
        <w:t>409</w:t>
      </w:r>
    </w:p>
    <w:p w:rsidR="000364C2" w:rsidRDefault="000364C2" w:rsidP="005F51E8">
      <w:pPr>
        <w:spacing w:after="0"/>
        <w:jc w:val="both"/>
      </w:pPr>
    </w:p>
    <w:p w:rsidR="000364C2" w:rsidRDefault="000364C2" w:rsidP="000364C2">
      <w:pPr>
        <w:spacing w:after="0"/>
        <w:jc w:val="center"/>
        <w:rPr>
          <w:b/>
          <w:sz w:val="32"/>
          <w:szCs w:val="32"/>
        </w:rPr>
      </w:pPr>
    </w:p>
    <w:p w:rsidR="000364C2" w:rsidRPr="00314AAD" w:rsidRDefault="008C5D7A" w:rsidP="000364C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ZAMÓ</w:t>
      </w:r>
      <w:r w:rsidR="000364C2" w:rsidRPr="00314AAD">
        <w:rPr>
          <w:b/>
          <w:sz w:val="32"/>
          <w:szCs w:val="32"/>
        </w:rPr>
        <w:t>WIENIE</w:t>
      </w:r>
    </w:p>
    <w:p w:rsidR="000364C2" w:rsidRDefault="00747D90" w:rsidP="000364C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Nr ……</w:t>
      </w:r>
      <w:r w:rsidR="002B1D29">
        <w:rPr>
          <w:sz w:val="28"/>
          <w:szCs w:val="28"/>
        </w:rPr>
        <w:t>/</w:t>
      </w:r>
      <w:proofErr w:type="spellStart"/>
      <w:r w:rsidR="002B1D29">
        <w:rPr>
          <w:sz w:val="28"/>
          <w:szCs w:val="28"/>
        </w:rPr>
        <w:t>Rz</w:t>
      </w:r>
      <w:proofErr w:type="spellEnd"/>
      <w:r w:rsidR="002B1D29">
        <w:rPr>
          <w:sz w:val="28"/>
          <w:szCs w:val="28"/>
        </w:rPr>
        <w:t>/Technika Lotnicza/ z dnia ………………….2022</w:t>
      </w:r>
      <w:r w:rsidR="000364C2" w:rsidRPr="00314AAD">
        <w:rPr>
          <w:sz w:val="28"/>
          <w:szCs w:val="28"/>
        </w:rPr>
        <w:t xml:space="preserve"> r. </w:t>
      </w:r>
    </w:p>
    <w:p w:rsidR="00747D90" w:rsidRPr="003475DC" w:rsidRDefault="00747D90" w:rsidP="00747D90">
      <w:pPr>
        <w:pStyle w:val="Akapitzlist"/>
        <w:ind w:left="426"/>
        <w:jc w:val="center"/>
        <w:rPr>
          <w:b/>
        </w:rPr>
      </w:pPr>
    </w:p>
    <w:p w:rsidR="00747D90" w:rsidRPr="003475DC" w:rsidRDefault="00747D90" w:rsidP="00747D90">
      <w:pPr>
        <w:pStyle w:val="Akapitzlist"/>
        <w:ind w:left="426"/>
        <w:jc w:val="center"/>
        <w:rPr>
          <w:b/>
        </w:rPr>
      </w:pPr>
      <w:r w:rsidRPr="003475DC">
        <w:rPr>
          <w:b/>
        </w:rPr>
        <w:t>JEDNORAZOWA DOSTAWA</w:t>
      </w:r>
      <w:r>
        <w:rPr>
          <w:b/>
        </w:rPr>
        <w:t xml:space="preserve"> 27(DWUDZIESTU SIEDMIU)</w:t>
      </w:r>
      <w:r w:rsidRPr="003475DC">
        <w:rPr>
          <w:b/>
        </w:rPr>
        <w:t xml:space="preserve"> </w:t>
      </w:r>
      <w:r>
        <w:rPr>
          <w:b/>
        </w:rPr>
        <w:t>PASÓW MOCUJĄCYCH Z HAKIEM 26.100.120.20.00 D</w:t>
      </w:r>
      <w:r w:rsidR="00CA168C" w:rsidRPr="00CA168C">
        <w:rPr>
          <w:b/>
        </w:rPr>
        <w:t xml:space="preserve"> </w:t>
      </w:r>
      <w:r w:rsidR="00CA168C" w:rsidRPr="000449DE">
        <w:rPr>
          <w:b/>
        </w:rPr>
        <w:t>dla 2 pułku rozpoznawczego z Hrubieszowa</w:t>
      </w:r>
    </w:p>
    <w:p w:rsidR="000364C2" w:rsidRDefault="000364C2" w:rsidP="005F51E8">
      <w:pPr>
        <w:spacing w:after="0"/>
        <w:jc w:val="both"/>
      </w:pPr>
    </w:p>
    <w:p w:rsidR="005F51E8" w:rsidRPr="00086439" w:rsidRDefault="005F51E8" w:rsidP="0077339C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 w:rsidRPr="00086439">
        <w:rPr>
          <w:b/>
        </w:rPr>
        <w:t>SZCZEGÓŁY ZAMÓWIENIA:</w:t>
      </w:r>
    </w:p>
    <w:p w:rsidR="00C31666" w:rsidRPr="000449DE" w:rsidRDefault="005F51E8" w:rsidP="0077339C">
      <w:pPr>
        <w:pStyle w:val="Akapitzlist"/>
        <w:numPr>
          <w:ilvl w:val="0"/>
          <w:numId w:val="1"/>
        </w:numPr>
        <w:jc w:val="both"/>
        <w:rPr>
          <w:b/>
        </w:rPr>
      </w:pPr>
      <w:r w:rsidRPr="005F51E8">
        <w:t xml:space="preserve">Przedmiotem zamówienia jest </w:t>
      </w:r>
      <w:r w:rsidR="00075B07">
        <w:t xml:space="preserve">jednorazowa </w:t>
      </w:r>
      <w:r w:rsidR="000449DE">
        <w:t>dostawa</w:t>
      </w:r>
      <w:r w:rsidR="00747D90">
        <w:t xml:space="preserve"> </w:t>
      </w:r>
      <w:r w:rsidR="00747D90" w:rsidRPr="00CA168C">
        <w:rPr>
          <w:b/>
        </w:rPr>
        <w:t>27(Dwudziestu siedmiu) Pasów mocujących z Hakiem 26.100.120.20.00 D</w:t>
      </w:r>
      <w:r w:rsidR="000449DE" w:rsidRPr="00CA168C">
        <w:rPr>
          <w:b/>
        </w:rPr>
        <w:t xml:space="preserve"> </w:t>
      </w:r>
      <w:r w:rsidR="00747D90" w:rsidRPr="00CA168C">
        <w:rPr>
          <w:b/>
        </w:rPr>
        <w:t xml:space="preserve"> </w:t>
      </w:r>
      <w:r w:rsidR="000449DE" w:rsidRPr="00CA168C">
        <w:rPr>
          <w:b/>
        </w:rPr>
        <w:t>dla 2 pułku rozpoznawczego z Hrubieszowa</w:t>
      </w:r>
      <w:r w:rsidR="006B7915">
        <w:rPr>
          <w:b/>
        </w:rPr>
        <w:t>,</w:t>
      </w:r>
    </w:p>
    <w:p w:rsidR="00747D90" w:rsidRDefault="0045593B" w:rsidP="0077339C">
      <w:pPr>
        <w:pStyle w:val="Akapitzlist"/>
        <w:numPr>
          <w:ilvl w:val="0"/>
          <w:numId w:val="1"/>
        </w:numPr>
        <w:jc w:val="both"/>
      </w:pPr>
      <w:r>
        <w:t>d</w:t>
      </w:r>
      <w:r w:rsidR="005F51E8" w:rsidRPr="005F51E8">
        <w:t>ostawa na koszt Wykonawcy do siedziby</w:t>
      </w:r>
      <w:r w:rsidR="002B1D29">
        <w:t xml:space="preserve"> Zamawiającego  na adres: </w:t>
      </w:r>
      <w:r w:rsidR="002B1D29" w:rsidRPr="002475B8">
        <w:rPr>
          <w:b/>
        </w:rPr>
        <w:t xml:space="preserve">ul. Dwernickiego 4, </w:t>
      </w:r>
      <w:r w:rsidR="006E40FC" w:rsidRPr="002475B8">
        <w:rPr>
          <w:b/>
        </w:rPr>
        <w:br/>
      </w:r>
      <w:r w:rsidR="002B1D29" w:rsidRPr="002475B8">
        <w:rPr>
          <w:b/>
        </w:rPr>
        <w:t>22-550 Hrubieszów</w:t>
      </w:r>
      <w:r w:rsidR="002B1D29">
        <w:t xml:space="preserve"> od poniedziałku do piątku w godzinach 8.00 do 13.00</w:t>
      </w:r>
      <w:r w:rsidR="00747D90">
        <w:t xml:space="preserve">. </w:t>
      </w:r>
    </w:p>
    <w:p w:rsidR="00747D90" w:rsidRDefault="00747D90" w:rsidP="0077339C">
      <w:pPr>
        <w:pStyle w:val="Akapitzlist"/>
        <w:numPr>
          <w:ilvl w:val="0"/>
          <w:numId w:val="1"/>
        </w:numPr>
        <w:jc w:val="both"/>
      </w:pPr>
      <w:r>
        <w:t>Załączniki stanowią integralną część zamówienie.</w:t>
      </w:r>
      <w:r w:rsidR="0020348C">
        <w:t xml:space="preserve"> </w:t>
      </w:r>
    </w:p>
    <w:p w:rsidR="005F51E8" w:rsidRDefault="0020348C" w:rsidP="0077339C">
      <w:pPr>
        <w:pStyle w:val="Akapitzlist"/>
        <w:numPr>
          <w:ilvl w:val="0"/>
          <w:numId w:val="1"/>
        </w:numPr>
        <w:jc w:val="both"/>
      </w:pPr>
      <w:r>
        <w:t xml:space="preserve">Zamawiający zobowiązany jest do telefonicznego poinformowania </w:t>
      </w:r>
      <w:r w:rsidR="002F60ED">
        <w:br/>
      </w:r>
      <w:r>
        <w:t>z dwudniowym wyprzedzeniem o dostawie</w:t>
      </w:r>
      <w:r w:rsidR="000449DE">
        <w:t xml:space="preserve"> pod nr.tel. :  261 181 409 lub</w:t>
      </w:r>
      <w:r w:rsidR="00A560E3">
        <w:t xml:space="preserve"> 261 158</w:t>
      </w:r>
      <w:r w:rsidR="000449DE">
        <w:t> </w:t>
      </w:r>
      <w:r w:rsidR="002F60ED">
        <w:t>307</w:t>
      </w:r>
      <w:r w:rsidR="000449DE">
        <w:t>,</w:t>
      </w:r>
      <w:r>
        <w:t xml:space="preserve"> </w:t>
      </w:r>
    </w:p>
    <w:p w:rsidR="005F51E8" w:rsidRDefault="005F51E8" w:rsidP="0077339C">
      <w:pPr>
        <w:pStyle w:val="Akapitzlist"/>
        <w:numPr>
          <w:ilvl w:val="0"/>
          <w:numId w:val="1"/>
        </w:numPr>
        <w:jc w:val="both"/>
      </w:pPr>
      <w:r w:rsidRPr="005F51E8">
        <w:t>termin realizac</w:t>
      </w:r>
      <w:r w:rsidR="006B7915">
        <w:t>ji Z</w:t>
      </w:r>
      <w:r w:rsidR="0020348C">
        <w:t>amówienia: o</w:t>
      </w:r>
      <w:r w:rsidR="00747D90">
        <w:t>d dnia podpisania Zamówienia</w:t>
      </w:r>
      <w:r w:rsidR="0020348C" w:rsidRPr="005875E8">
        <w:rPr>
          <w:b/>
        </w:rPr>
        <w:t xml:space="preserve"> </w:t>
      </w:r>
      <w:r w:rsidR="00732F53">
        <w:rPr>
          <w:b/>
        </w:rPr>
        <w:t xml:space="preserve"> 14 dni roboczych</w:t>
      </w:r>
    </w:p>
    <w:p w:rsidR="005F51E8" w:rsidRPr="002469B9" w:rsidRDefault="005F51E8" w:rsidP="0077339C">
      <w:pPr>
        <w:pStyle w:val="Akapitzlist"/>
        <w:numPr>
          <w:ilvl w:val="0"/>
          <w:numId w:val="1"/>
        </w:numPr>
        <w:jc w:val="both"/>
      </w:pPr>
      <w:r w:rsidRPr="005F51E8">
        <w:t xml:space="preserve">wartość zamówienia </w:t>
      </w:r>
      <w:r w:rsidR="00B9551E">
        <w:t xml:space="preserve">wyniesie brutto: </w:t>
      </w:r>
      <w:r w:rsidR="00D8230F">
        <w:rPr>
          <w:b/>
        </w:rPr>
        <w:t>…………………</w:t>
      </w:r>
      <w:r w:rsidR="002469B9">
        <w:rPr>
          <w:b/>
        </w:rPr>
        <w:t>………</w:t>
      </w:r>
      <w:r w:rsidR="00CD0907">
        <w:rPr>
          <w:b/>
        </w:rPr>
        <w:t>……………</w:t>
      </w:r>
      <w:r w:rsidR="006B7915">
        <w:rPr>
          <w:b/>
        </w:rPr>
        <w:t>………………….,</w:t>
      </w:r>
    </w:p>
    <w:p w:rsidR="005F51E8" w:rsidRDefault="005F51E8" w:rsidP="0077339C">
      <w:pPr>
        <w:pStyle w:val="Akapitzlist"/>
        <w:numPr>
          <w:ilvl w:val="0"/>
          <w:numId w:val="1"/>
        </w:numPr>
        <w:spacing w:line="276" w:lineRule="auto"/>
        <w:jc w:val="both"/>
      </w:pPr>
      <w:r w:rsidRPr="005F51E8">
        <w:t>osobą upoważnioną do kon</w:t>
      </w:r>
      <w:r w:rsidR="002469B9">
        <w:t>taktu jest:</w:t>
      </w:r>
      <w:r w:rsidR="0022585E">
        <w:t xml:space="preserve"> Piotr Wilczyński</w:t>
      </w:r>
      <w:r w:rsidR="002469B9">
        <w:t xml:space="preserve"> tel. 261-181-409</w:t>
      </w:r>
      <w:r w:rsidRPr="005F51E8">
        <w:t>.</w:t>
      </w:r>
    </w:p>
    <w:p w:rsidR="005F51E8" w:rsidRPr="00086439" w:rsidRDefault="005F51E8" w:rsidP="0077339C">
      <w:pPr>
        <w:pStyle w:val="Akapitzlist"/>
        <w:numPr>
          <w:ilvl w:val="0"/>
          <w:numId w:val="2"/>
        </w:numPr>
        <w:spacing w:line="276" w:lineRule="auto"/>
        <w:jc w:val="both"/>
        <w:rPr>
          <w:b/>
        </w:rPr>
      </w:pPr>
      <w:r w:rsidRPr="00086439">
        <w:rPr>
          <w:b/>
        </w:rPr>
        <w:t>WARUNKI PŁATNOŚCI:</w:t>
      </w:r>
    </w:p>
    <w:p w:rsidR="005F51E8" w:rsidRDefault="00075B07" w:rsidP="0077339C">
      <w:pPr>
        <w:pStyle w:val="Akapitzlist"/>
        <w:numPr>
          <w:ilvl w:val="0"/>
          <w:numId w:val="5"/>
        </w:numPr>
        <w:jc w:val="both"/>
      </w:pPr>
      <w:r>
        <w:t>P</w:t>
      </w:r>
      <w:r w:rsidR="005F51E8" w:rsidRPr="005F51E8">
        <w:t>łatność zostanie dokonana na podstawie</w:t>
      </w:r>
      <w:r w:rsidR="00EB64A6">
        <w:t xml:space="preserve"> podpisanego protokołu odbioru i</w:t>
      </w:r>
      <w:bookmarkStart w:id="0" w:name="_GoBack"/>
      <w:bookmarkEnd w:id="0"/>
      <w:r w:rsidR="00EB64A6">
        <w:t xml:space="preserve">  dostarczonej </w:t>
      </w:r>
      <w:r w:rsidR="005F51E8" w:rsidRPr="005F51E8">
        <w:t xml:space="preserve"> prawidłowo wystawionej faktury VAT,</w:t>
      </w:r>
    </w:p>
    <w:p w:rsidR="005F51E8" w:rsidRDefault="003A1273" w:rsidP="0077339C">
      <w:pPr>
        <w:pStyle w:val="Akapitzlist"/>
        <w:numPr>
          <w:ilvl w:val="0"/>
          <w:numId w:val="5"/>
        </w:numPr>
        <w:jc w:val="both"/>
      </w:pPr>
      <w:r>
        <w:t>termin płatności 21</w:t>
      </w:r>
      <w:r w:rsidR="00FB7E74">
        <w:t xml:space="preserve"> dni kalendarzowych</w:t>
      </w:r>
      <w:r w:rsidR="005F51E8" w:rsidRPr="005F51E8">
        <w:t xml:space="preserve"> od daty dosta</w:t>
      </w:r>
      <w:r w:rsidR="000364C2">
        <w:t>rczenia faktury VAT i podpisaniu</w:t>
      </w:r>
      <w:r w:rsidR="005F51E8" w:rsidRPr="005F51E8">
        <w:t xml:space="preserve"> protokołu zdawczo odbiorczego bez uwag</w:t>
      </w:r>
      <w:r w:rsidR="005F51E8">
        <w:t>,</w:t>
      </w:r>
    </w:p>
    <w:p w:rsidR="00086439" w:rsidRDefault="005F51E8" w:rsidP="0077339C">
      <w:pPr>
        <w:pStyle w:val="Akapitzlist"/>
        <w:numPr>
          <w:ilvl w:val="0"/>
          <w:numId w:val="5"/>
        </w:numPr>
        <w:spacing w:line="360" w:lineRule="auto"/>
        <w:jc w:val="both"/>
      </w:pPr>
      <w:r w:rsidRPr="005F51E8">
        <w:t>upoważniamy Wykonawcę do wystawienia faktury VAT bez podpisu Zamawiającego.</w:t>
      </w:r>
    </w:p>
    <w:p w:rsidR="0077339C" w:rsidRDefault="0077339C" w:rsidP="0077339C">
      <w:pPr>
        <w:pStyle w:val="Akapitzlist"/>
        <w:numPr>
          <w:ilvl w:val="0"/>
          <w:numId w:val="5"/>
        </w:numPr>
        <w:jc w:val="both"/>
      </w:pPr>
      <w:r w:rsidRPr="0077339C">
        <w:t>Za dzień dokonania zapłaty wynagrodzenia strony uznają dzień obciążenia rachunku bankowego Zamawiającego.</w:t>
      </w:r>
    </w:p>
    <w:p w:rsidR="006F35E8" w:rsidRPr="00086439" w:rsidRDefault="006F35E8" w:rsidP="0077339C">
      <w:pPr>
        <w:pStyle w:val="Akapitzlist"/>
        <w:numPr>
          <w:ilvl w:val="0"/>
          <w:numId w:val="2"/>
        </w:numPr>
        <w:jc w:val="both"/>
        <w:rPr>
          <w:b/>
        </w:rPr>
      </w:pPr>
      <w:r w:rsidRPr="00086439">
        <w:rPr>
          <w:b/>
        </w:rPr>
        <w:t>ZOBOWIĄZANIA WYKONAWCY/ZAMAWIAJĄCEGO:</w:t>
      </w:r>
    </w:p>
    <w:p w:rsidR="006F35E8" w:rsidRDefault="006F35E8" w:rsidP="0077339C">
      <w:pPr>
        <w:pStyle w:val="Akapitzlist"/>
        <w:numPr>
          <w:ilvl w:val="1"/>
          <w:numId w:val="8"/>
        </w:numPr>
        <w:jc w:val="both"/>
      </w:pPr>
      <w:r w:rsidRPr="006F35E8">
        <w:t>Wykonawca zobowiązuje się do właściwego wykonania zamówienia zgodnie z posiadaną wiedzą i obowiązującymi przepisami,</w:t>
      </w:r>
    </w:p>
    <w:p w:rsidR="006F35E8" w:rsidRDefault="006F35E8" w:rsidP="0077339C">
      <w:pPr>
        <w:pStyle w:val="Akapitzlist"/>
        <w:numPr>
          <w:ilvl w:val="1"/>
          <w:numId w:val="8"/>
        </w:numPr>
        <w:jc w:val="both"/>
      </w:pPr>
      <w:r w:rsidRPr="006F35E8">
        <w:t>Zamawiający zastrzega sobie prawo odstąpienia od zamówienia w razie wystąpienia istotnej zmiany okoliczności powodującej, że wykonanie zamówienia nie leży w interesie publicznym, czego nie można by</w:t>
      </w:r>
      <w:r w:rsidR="002469B9">
        <w:t>ło przewidzieć w chwili złożenia Z</w:t>
      </w:r>
      <w:r w:rsidRPr="006F35E8">
        <w:t>amówienia. Odstąpienie powinno nastąpić w terminie co najmniej 2 dni od powzięcia wiadomości o okolicznościach uzasadniają</w:t>
      </w:r>
      <w:r w:rsidR="002469B9">
        <w:t>cych odstąpienie od realizacji Z</w:t>
      </w:r>
      <w:r w:rsidRPr="006F35E8">
        <w:t>amówienia.</w:t>
      </w:r>
    </w:p>
    <w:p w:rsidR="005875E8" w:rsidRDefault="005875E8" w:rsidP="005875E8">
      <w:pPr>
        <w:jc w:val="both"/>
      </w:pPr>
    </w:p>
    <w:p w:rsidR="00CA168C" w:rsidRDefault="00CA168C" w:rsidP="005875E8">
      <w:pPr>
        <w:jc w:val="both"/>
      </w:pPr>
    </w:p>
    <w:p w:rsidR="00747D90" w:rsidRDefault="00747D90" w:rsidP="005875E8">
      <w:pPr>
        <w:jc w:val="both"/>
      </w:pPr>
    </w:p>
    <w:p w:rsidR="006F35E8" w:rsidRPr="00747D90" w:rsidRDefault="006F35E8" w:rsidP="00086439">
      <w:pPr>
        <w:pStyle w:val="Akapitzlist"/>
        <w:numPr>
          <w:ilvl w:val="0"/>
          <w:numId w:val="2"/>
        </w:numPr>
        <w:spacing w:line="276" w:lineRule="auto"/>
        <w:jc w:val="both"/>
        <w:rPr>
          <w:b/>
        </w:rPr>
      </w:pPr>
      <w:r w:rsidRPr="00747D90">
        <w:rPr>
          <w:b/>
        </w:rPr>
        <w:t>REKLAMACJA/GWARANCJA</w:t>
      </w:r>
    </w:p>
    <w:p w:rsidR="006F35E8" w:rsidRDefault="006F35E8" w:rsidP="006D2E9C">
      <w:pPr>
        <w:pStyle w:val="Akapitzlist"/>
        <w:numPr>
          <w:ilvl w:val="1"/>
          <w:numId w:val="9"/>
        </w:numPr>
        <w:jc w:val="both"/>
      </w:pPr>
      <w:r w:rsidRPr="006F35E8">
        <w:t>W przypadku stwierdzenia wady dostarczonego asortymentu, Zamawiający zawiadomi Wykonawcę o rodzaju wady w terminie 7 dni od jej wykrycia,</w:t>
      </w:r>
    </w:p>
    <w:p w:rsidR="006F35E8" w:rsidRDefault="006F35E8" w:rsidP="006D2E9C">
      <w:pPr>
        <w:pStyle w:val="Akapitzlist"/>
        <w:numPr>
          <w:ilvl w:val="1"/>
          <w:numId w:val="9"/>
        </w:numPr>
        <w:jc w:val="both"/>
      </w:pPr>
      <w:r w:rsidRPr="006F35E8">
        <w:t>Wykonawca zobowiązuje się do usunięcia zgłoszonych wad na swój koszt,  w terminie 14 dni od zawiadomienia i ich stwierdzeniu, a jeśli wad nie będzie można usunąć, do wymiany asortymentu na taki sam wolny od wad w terminie 10 dni po stwier</w:t>
      </w:r>
      <w:r w:rsidR="006B4CBB">
        <w:t>dzeniu braku możliwości naprawy,</w:t>
      </w:r>
    </w:p>
    <w:p w:rsidR="00BB0EAB" w:rsidRPr="00747D90" w:rsidRDefault="00BB0EAB" w:rsidP="006D2E9C">
      <w:pPr>
        <w:pStyle w:val="Akapitzlist"/>
        <w:numPr>
          <w:ilvl w:val="0"/>
          <w:numId w:val="2"/>
        </w:numPr>
        <w:jc w:val="both"/>
        <w:rPr>
          <w:b/>
        </w:rPr>
      </w:pPr>
      <w:r w:rsidRPr="00747D90">
        <w:rPr>
          <w:b/>
        </w:rPr>
        <w:t>KARY</w:t>
      </w:r>
    </w:p>
    <w:p w:rsidR="006D2E9C" w:rsidRPr="006D2E9C" w:rsidRDefault="006D2E9C" w:rsidP="000364C2">
      <w:pPr>
        <w:pStyle w:val="Akapitzlist"/>
        <w:numPr>
          <w:ilvl w:val="0"/>
          <w:numId w:val="12"/>
        </w:numPr>
        <w:spacing w:after="0"/>
        <w:ind w:left="709" w:hanging="425"/>
        <w:jc w:val="both"/>
        <w:rPr>
          <w:rFonts w:cstheme="minorHAnsi"/>
          <w:sz w:val="28"/>
          <w:szCs w:val="28"/>
        </w:rPr>
      </w:pPr>
      <w:r w:rsidRPr="006D2E9C">
        <w:rPr>
          <w:rFonts w:eastAsia="Times New Roman" w:cstheme="minorHAnsi"/>
          <w:lang w:eastAsia="pl-PL"/>
        </w:rPr>
        <w:t xml:space="preserve"> </w:t>
      </w:r>
      <w:r w:rsidR="00BB0EAB" w:rsidRPr="006D2E9C">
        <w:rPr>
          <w:rFonts w:eastAsia="Times New Roman" w:cstheme="minorHAnsi"/>
          <w:lang w:eastAsia="pl-PL"/>
        </w:rPr>
        <w:t xml:space="preserve">za zwłokę w wykonaniu przedmiotu zamówienia w terminie określonym zamówieniu </w:t>
      </w:r>
      <w:r w:rsidR="000364C2">
        <w:rPr>
          <w:rFonts w:eastAsia="Times New Roman" w:cstheme="minorHAnsi"/>
          <w:lang w:eastAsia="pl-PL"/>
        </w:rPr>
        <w:br/>
      </w:r>
      <w:r w:rsidR="00BB0EAB" w:rsidRPr="006D2E9C">
        <w:rPr>
          <w:rFonts w:eastAsia="Times New Roman" w:cstheme="minorHAnsi"/>
          <w:lang w:eastAsia="pl-PL"/>
        </w:rPr>
        <w:t>w wysokości 0,2% wartości wynagrodzenia brutto za każdy dzień zwłoki.</w:t>
      </w:r>
    </w:p>
    <w:p w:rsidR="00BB0EAB" w:rsidRPr="006D2E9C" w:rsidRDefault="006D2E9C" w:rsidP="000364C2">
      <w:pPr>
        <w:pStyle w:val="Akapitzlist"/>
        <w:numPr>
          <w:ilvl w:val="0"/>
          <w:numId w:val="12"/>
        </w:numPr>
        <w:spacing w:after="0"/>
        <w:ind w:left="709" w:hanging="425"/>
        <w:jc w:val="both"/>
        <w:rPr>
          <w:rFonts w:cstheme="minorHAnsi"/>
          <w:sz w:val="28"/>
          <w:szCs w:val="28"/>
        </w:rPr>
      </w:pPr>
      <w:r w:rsidRPr="006D2E9C">
        <w:rPr>
          <w:rFonts w:eastAsia="Times New Roman" w:cstheme="minorHAnsi"/>
          <w:lang w:eastAsia="pl-PL"/>
        </w:rPr>
        <w:t>za zwłokę w usunięciu wad stwierdzonych w trakc</w:t>
      </w:r>
      <w:r w:rsidR="000364C2">
        <w:rPr>
          <w:rFonts w:eastAsia="Times New Roman" w:cstheme="minorHAnsi"/>
          <w:lang w:eastAsia="pl-PL"/>
        </w:rPr>
        <w:t xml:space="preserve">ie obioru dostawy oraz </w:t>
      </w:r>
      <w:r w:rsidRPr="006D2E9C">
        <w:rPr>
          <w:rFonts w:eastAsia="Times New Roman" w:cstheme="minorHAnsi"/>
          <w:lang w:eastAsia="pl-PL"/>
        </w:rPr>
        <w:t>w okresie gwarancji - w wysokości 0,2% wartości wynagrodzenia brutto, za każdy dzień opóźnienia, licząc od terminu wyznaczonego na usunięcie wad</w:t>
      </w:r>
    </w:p>
    <w:p w:rsidR="006D2E9C" w:rsidRPr="006D2E9C" w:rsidRDefault="002469B9" w:rsidP="000364C2">
      <w:pPr>
        <w:pStyle w:val="Akapitzlist"/>
        <w:numPr>
          <w:ilvl w:val="0"/>
          <w:numId w:val="12"/>
        </w:numPr>
        <w:spacing w:after="0"/>
        <w:ind w:left="709" w:hanging="425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lang w:eastAsia="pl-PL"/>
        </w:rPr>
        <w:t>za odstąpienie od Z</w:t>
      </w:r>
      <w:r w:rsidR="006D2E9C" w:rsidRPr="006D2E9C">
        <w:rPr>
          <w:rFonts w:eastAsia="Times New Roman" w:cstheme="minorHAnsi"/>
          <w:lang w:eastAsia="pl-PL"/>
        </w:rPr>
        <w:t>amówienia przez Zamawiającego z przyczyn lezących po stronie Wykonawcy w wysokości 10% wynagrodzenia umownego brutto</w:t>
      </w:r>
      <w:r w:rsidR="006D2E9C" w:rsidRPr="006D2E9C">
        <w:rPr>
          <w:rFonts w:cstheme="minorHAnsi"/>
        </w:rPr>
        <w:t xml:space="preserve"> od zawiadomienia i ich stwierdzeniu, a jeśli wad nie będzie można usunąć, do wymiany asortymentu na taki sam wolny od wad w terminie 10 dni po stwier</w:t>
      </w:r>
      <w:r w:rsidR="000364C2">
        <w:rPr>
          <w:rFonts w:cstheme="minorHAnsi"/>
        </w:rPr>
        <w:t>dzeniu braku możliwości naprawy,</w:t>
      </w:r>
    </w:p>
    <w:p w:rsidR="006D2E9C" w:rsidRPr="006D2E9C" w:rsidRDefault="006D2E9C" w:rsidP="00086439">
      <w:pPr>
        <w:pStyle w:val="Akapitzlist"/>
        <w:numPr>
          <w:ilvl w:val="0"/>
          <w:numId w:val="12"/>
        </w:numPr>
        <w:spacing w:before="240" w:after="0"/>
        <w:ind w:left="709" w:hanging="425"/>
        <w:jc w:val="both"/>
        <w:rPr>
          <w:rFonts w:cstheme="minorHAnsi"/>
          <w:sz w:val="28"/>
          <w:szCs w:val="28"/>
        </w:rPr>
      </w:pPr>
      <w:r w:rsidRPr="006D2E9C">
        <w:rPr>
          <w:rFonts w:eastAsia="Times New Roman" w:cstheme="minorHAnsi"/>
          <w:lang w:eastAsia="pl-PL"/>
        </w:rPr>
        <w:t>Łączna wysokość kar umownych nie może przekroczyć 30% wynagrodzenia umownego brutto</w:t>
      </w:r>
      <w:r w:rsidR="000364C2">
        <w:rPr>
          <w:rFonts w:eastAsia="Times New Roman" w:cstheme="minorHAnsi"/>
          <w:lang w:eastAsia="pl-PL"/>
        </w:rPr>
        <w:t>.</w:t>
      </w:r>
    </w:p>
    <w:p w:rsidR="006B4CBB" w:rsidRPr="00086439" w:rsidRDefault="000364C2" w:rsidP="00086439">
      <w:pPr>
        <w:tabs>
          <w:tab w:val="left" w:pos="0"/>
        </w:tabs>
        <w:spacing w:before="240" w:after="0"/>
        <w:rPr>
          <w:b/>
        </w:rPr>
      </w:pPr>
      <w:r w:rsidRPr="00086439">
        <w:rPr>
          <w:b/>
        </w:rPr>
        <w:t>6.</w:t>
      </w:r>
      <w:r w:rsidR="006B4CBB" w:rsidRPr="00086439">
        <w:rPr>
          <w:b/>
        </w:rPr>
        <w:t xml:space="preserve">  ZASADY WEJŚCIA/WJAZDU</w:t>
      </w:r>
    </w:p>
    <w:p w:rsidR="002475B8" w:rsidRDefault="002475B8" w:rsidP="002475B8">
      <w:pPr>
        <w:numPr>
          <w:ilvl w:val="0"/>
          <w:numId w:val="14"/>
        </w:numPr>
        <w:shd w:val="clear" w:color="auto" w:fill="FFFFFF"/>
        <w:tabs>
          <w:tab w:val="left" w:pos="284"/>
        </w:tabs>
        <w:suppressAutoHyphens/>
        <w:spacing w:after="200" w:line="276" w:lineRule="auto"/>
        <w:jc w:val="both"/>
        <w:rPr>
          <w:rFonts w:cs="Arial"/>
          <w:color w:val="000000" w:themeColor="text1"/>
          <w:kern w:val="2"/>
          <w:lang w:eastAsia="zh-CN"/>
        </w:rPr>
      </w:pPr>
      <w:r>
        <w:rPr>
          <w:rFonts w:cs="Arial"/>
          <w:color w:val="000000" w:themeColor="text1"/>
          <w:kern w:val="2"/>
          <w:lang w:eastAsia="zh-CN"/>
        </w:rPr>
        <w:t xml:space="preserve">Pracownicy ochrony – dyżurny biura przepustek, mają prawo kontrolowania dokumentów uprawniających osoby do wstępu, wjazdu i przebywania na terenie obiektu oraz wynoszenia i wywożenia przedmiotów przez te osoby, zgodnie </w:t>
      </w:r>
      <w:r>
        <w:rPr>
          <w:rFonts w:cs="Arial"/>
          <w:color w:val="000000" w:themeColor="text1"/>
          <w:kern w:val="2"/>
          <w:lang w:eastAsia="zh-CN"/>
        </w:rPr>
        <w:br/>
        <w:t xml:space="preserve">z zasadami określonymi przez Dowódcę na podstawie rozporządzenia Ministra Obrony Narodowej z dnia 2 czerwca 1999 r. w sprawie wewnętrznych służb ochrony działających na terenach komórek i jednostek organizacyjnych resortu obrony narodowej (Dz. U. z 2020 r. poz. 816 </w:t>
      </w:r>
      <w:proofErr w:type="spellStart"/>
      <w:r>
        <w:rPr>
          <w:rFonts w:cs="Arial"/>
          <w:color w:val="000000" w:themeColor="text1"/>
          <w:kern w:val="2"/>
          <w:lang w:eastAsia="zh-CN"/>
        </w:rPr>
        <w:t>t.j</w:t>
      </w:r>
      <w:proofErr w:type="spellEnd"/>
      <w:r>
        <w:rPr>
          <w:rFonts w:cs="Arial"/>
          <w:color w:val="000000" w:themeColor="text1"/>
          <w:kern w:val="2"/>
          <w:lang w:eastAsia="zh-CN"/>
        </w:rPr>
        <w:t xml:space="preserve">.) oraz ustawy z dnia 21 stycznia 2021 r. w sprawie zmiany ustawy o ochronie osób </w:t>
      </w:r>
      <w:r>
        <w:rPr>
          <w:rFonts w:cs="Arial"/>
          <w:color w:val="000000" w:themeColor="text1"/>
          <w:kern w:val="2"/>
          <w:lang w:eastAsia="zh-CN"/>
        </w:rPr>
        <w:br/>
        <w:t>i mienia oraz ustawy o Żandarmerii Wojskowej i wojskowych organach porządkowych (Dz. U. z 2021 r. poz. 469) oraz Regulaminu Ogólnego Sił Zbrojnych.</w:t>
      </w:r>
    </w:p>
    <w:p w:rsidR="002475B8" w:rsidRDefault="002475B8" w:rsidP="002475B8">
      <w:pPr>
        <w:numPr>
          <w:ilvl w:val="0"/>
          <w:numId w:val="14"/>
        </w:numPr>
        <w:shd w:val="clear" w:color="auto" w:fill="FFFFFF"/>
        <w:tabs>
          <w:tab w:val="left" w:pos="284"/>
        </w:tabs>
        <w:suppressAutoHyphens/>
        <w:spacing w:after="200" w:line="276" w:lineRule="auto"/>
        <w:jc w:val="both"/>
        <w:rPr>
          <w:rFonts w:cs="Arial"/>
          <w:color w:val="000000" w:themeColor="text1"/>
          <w:kern w:val="2"/>
          <w:lang w:eastAsia="zh-CN"/>
        </w:rPr>
      </w:pPr>
      <w:r>
        <w:rPr>
          <w:rFonts w:cs="Arial"/>
          <w:color w:val="000000" w:themeColor="text1"/>
          <w:kern w:val="2"/>
          <w:lang w:eastAsia="zh-CN"/>
        </w:rPr>
        <w:t xml:space="preserve">Zamawiający na podstawie: Instrukcji o ochronie obiektów wojskowych Szt. Gen. 1686/2017 wprowadzonej Decyzją Nr Z-12/MON Ministra Obrony Narodowej </w:t>
      </w:r>
      <w:r>
        <w:rPr>
          <w:rFonts w:cs="Arial"/>
          <w:color w:val="000000" w:themeColor="text1"/>
          <w:kern w:val="2"/>
          <w:lang w:eastAsia="zh-CN"/>
        </w:rPr>
        <w:br/>
        <w:t xml:space="preserve">z dnia 7 lipca 2017 r. w sprawie wprowadzenia z dniem 1 sierpnia 2017 roku do użytku w ”Instrukcji o ochronie obiektów wojskowych”, Decyzji Nr 107/MON Ministra Obrony Narodowej z dnia 18 sierpnia 2021 r. w sprawie organizowania współpracy międzynarodowej w resorcie obrony narodowej (Dz. Urz. MON                z 2021 r. poz.177), Rozkazu Dowódcy Generalnego Rodzajów Sił Zbrojnych Nr      Z-405 z dnia 27 lipca 2015 r. w sprawie organizacji systemu </w:t>
      </w:r>
      <w:proofErr w:type="spellStart"/>
      <w:r>
        <w:rPr>
          <w:rFonts w:cs="Arial"/>
          <w:color w:val="000000" w:themeColor="text1"/>
          <w:kern w:val="2"/>
          <w:lang w:eastAsia="zh-CN"/>
        </w:rPr>
        <w:t>przepustkowego</w:t>
      </w:r>
      <w:proofErr w:type="spellEnd"/>
      <w:r>
        <w:rPr>
          <w:rFonts w:cs="Arial"/>
          <w:color w:val="000000" w:themeColor="text1"/>
          <w:kern w:val="2"/>
          <w:lang w:eastAsia="zh-CN"/>
        </w:rPr>
        <w:t xml:space="preserve"> jednostkach organizacyjnych podległych Dowódcy Generalnemu Rodzajów Sił Zbrojnych zastrzega sobie, iż warunkiem wstępu cudzoziemców na teren chronionych obiektów wojskowych jest wydanie przez właściwy organ wojskowy „Jednorazowego pozwolenia” uprawniającego do wejścia/wjazdu na teren chronionych obiektów wojskowych. Wydanie „Jednorazowego pozwolenia” jest uzależnione od wyrażenia przez Służbę Kontrwywiadu Wojskowego pozytywnej opinii w przedmiotowej sprawie.</w:t>
      </w:r>
    </w:p>
    <w:p w:rsidR="002475B8" w:rsidRDefault="002475B8" w:rsidP="002475B8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200" w:line="276" w:lineRule="auto"/>
        <w:jc w:val="both"/>
        <w:rPr>
          <w:rFonts w:cs="Arial"/>
          <w:color w:val="000000" w:themeColor="text1"/>
          <w:kern w:val="2"/>
          <w:lang w:eastAsia="zh-CN"/>
        </w:rPr>
      </w:pPr>
      <w:r>
        <w:rPr>
          <w:rFonts w:cs="Arial"/>
          <w:color w:val="000000" w:themeColor="text1"/>
          <w:kern w:val="2"/>
          <w:lang w:eastAsia="zh-CN"/>
        </w:rPr>
        <w:t xml:space="preserve">Wstęp OBCOKRAJOWCÓW do obiektów wojskowych może być realizowany wyłącznie </w:t>
      </w:r>
      <w:r>
        <w:rPr>
          <w:rFonts w:cs="Arial"/>
          <w:color w:val="000000" w:themeColor="text1"/>
          <w:kern w:val="2"/>
          <w:lang w:eastAsia="zh-CN"/>
        </w:rPr>
        <w:br/>
        <w:t xml:space="preserve">na podstawie POZWOLEŃ wydanych na zasadach określonych w decyzji Nr 107/MON Ministra </w:t>
      </w:r>
      <w:r>
        <w:rPr>
          <w:rFonts w:cs="Arial"/>
          <w:color w:val="000000" w:themeColor="text1"/>
          <w:kern w:val="2"/>
          <w:lang w:eastAsia="zh-CN"/>
        </w:rPr>
        <w:lastRenderedPageBreak/>
        <w:t>Obrony Narodo</w:t>
      </w:r>
      <w:r w:rsidR="0077339C">
        <w:rPr>
          <w:rFonts w:cs="Arial"/>
          <w:color w:val="000000" w:themeColor="text1"/>
          <w:kern w:val="2"/>
          <w:lang w:eastAsia="zh-CN"/>
        </w:rPr>
        <w:t xml:space="preserve">wej z dnia 18 sierpnia 2021 r. </w:t>
      </w:r>
      <w:r>
        <w:rPr>
          <w:rFonts w:cs="Arial"/>
          <w:color w:val="000000" w:themeColor="text1"/>
          <w:kern w:val="2"/>
          <w:lang w:eastAsia="zh-CN"/>
        </w:rPr>
        <w:t>w sprawie organizowania współpracy międzynarodowej w resorcie obrony narodowej (Dz. Urz. MON z 2021 r. poz. 177).</w:t>
      </w:r>
    </w:p>
    <w:p w:rsidR="002475B8" w:rsidRDefault="002475B8" w:rsidP="002475B8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spacing w:after="200" w:line="276" w:lineRule="auto"/>
        <w:jc w:val="both"/>
        <w:rPr>
          <w:rFonts w:cs="Arial"/>
          <w:color w:val="000000" w:themeColor="text1"/>
          <w:kern w:val="2"/>
          <w:lang w:eastAsia="zh-CN"/>
        </w:rPr>
      </w:pPr>
      <w:r>
        <w:rPr>
          <w:rFonts w:cs="Arial"/>
          <w:color w:val="000000" w:themeColor="text1"/>
          <w:kern w:val="2"/>
          <w:lang w:eastAsia="zh-CN"/>
        </w:rPr>
        <w:t>W stosunku do obywateli RP, dostawcy ubiegający się o zgodę na wejście/wjazd na teren chronionych obiektów wojskowych, zobowiązani są posiadać:</w:t>
      </w:r>
    </w:p>
    <w:p w:rsidR="002475B8" w:rsidRDefault="002475B8" w:rsidP="002475B8">
      <w:pPr>
        <w:shd w:val="clear" w:color="auto" w:fill="FFFFFF"/>
        <w:tabs>
          <w:tab w:val="left" w:pos="284"/>
        </w:tabs>
        <w:suppressAutoHyphens/>
        <w:ind w:firstLine="425"/>
        <w:jc w:val="both"/>
        <w:rPr>
          <w:rFonts w:cs="Arial"/>
          <w:color w:val="000000" w:themeColor="text1"/>
          <w:kern w:val="2"/>
          <w:lang w:eastAsia="zh-CN"/>
        </w:rPr>
      </w:pPr>
      <w:r>
        <w:rPr>
          <w:rFonts w:cs="Arial"/>
          <w:color w:val="000000" w:themeColor="text1"/>
          <w:kern w:val="2"/>
          <w:lang w:eastAsia="zh-CN"/>
        </w:rPr>
        <w:t xml:space="preserve">- aktualny dokument tożsamości z podaniem organu wydającego, </w:t>
      </w:r>
    </w:p>
    <w:p w:rsidR="002475B8" w:rsidRDefault="002475B8" w:rsidP="002475B8">
      <w:pPr>
        <w:shd w:val="clear" w:color="auto" w:fill="FFFFFF"/>
        <w:tabs>
          <w:tab w:val="left" w:pos="284"/>
        </w:tabs>
        <w:suppressAutoHyphens/>
        <w:ind w:firstLine="425"/>
        <w:jc w:val="both"/>
        <w:rPr>
          <w:rFonts w:cs="Arial"/>
          <w:color w:val="000000" w:themeColor="text1"/>
          <w:kern w:val="2"/>
          <w:lang w:eastAsia="zh-CN"/>
        </w:rPr>
      </w:pPr>
      <w:r>
        <w:rPr>
          <w:rFonts w:cs="Arial"/>
          <w:color w:val="000000" w:themeColor="text1"/>
          <w:kern w:val="2"/>
          <w:lang w:eastAsia="zh-CN"/>
        </w:rPr>
        <w:t>- numery rejestracyjne samochodów oraz innego sprzętu.</w:t>
      </w:r>
    </w:p>
    <w:p w:rsidR="002475B8" w:rsidRDefault="002475B8" w:rsidP="002475B8">
      <w:pPr>
        <w:numPr>
          <w:ilvl w:val="0"/>
          <w:numId w:val="14"/>
        </w:numPr>
        <w:tabs>
          <w:tab w:val="left" w:pos="851"/>
        </w:tabs>
        <w:suppressAutoHyphens/>
        <w:spacing w:after="200" w:line="276" w:lineRule="auto"/>
        <w:contextualSpacing/>
        <w:jc w:val="both"/>
        <w:rPr>
          <w:rFonts w:cs="Arial"/>
          <w:kern w:val="3"/>
          <w:szCs w:val="20"/>
          <w:lang w:eastAsia="zh-CN"/>
        </w:rPr>
      </w:pPr>
      <w:r>
        <w:rPr>
          <w:rFonts w:cs="Arial"/>
          <w:kern w:val="3"/>
          <w:szCs w:val="20"/>
          <w:lang w:eastAsia="zh-CN"/>
        </w:rPr>
        <w:t xml:space="preserve">Wykonawca dostawy jest zobowiązany  stosować się do obowiązujących przepisów w zakresie wejścia i wjazdu do jednostki, parkowania pojazdów, poruszania się po terenie chronionym, </w:t>
      </w:r>
      <w:r>
        <w:rPr>
          <w:rFonts w:cs="Arial"/>
          <w:kern w:val="3"/>
          <w:szCs w:val="20"/>
          <w:lang w:eastAsia="zh-CN"/>
        </w:rPr>
        <w:br/>
        <w:t xml:space="preserve">jak również </w:t>
      </w:r>
      <w:r>
        <w:rPr>
          <w:rFonts w:eastAsia="Lucida Sans Unicode" w:cs="Arial"/>
          <w:kern w:val="3"/>
          <w:lang w:eastAsia="ar-SA"/>
        </w:rPr>
        <w:t>uzyskania pozwolenia Dowódcy jednostki, na terenie której wykonywana jest dostawa, na:</w:t>
      </w:r>
    </w:p>
    <w:p w:rsidR="002475B8" w:rsidRDefault="002475B8" w:rsidP="002475B8">
      <w:pPr>
        <w:tabs>
          <w:tab w:val="left" w:pos="851"/>
        </w:tabs>
        <w:suppressAutoHyphens/>
        <w:ind w:left="340" w:firstLine="369"/>
        <w:contextualSpacing/>
        <w:jc w:val="both"/>
        <w:rPr>
          <w:rFonts w:eastAsia="Lucida Sans Unicode" w:cs="Arial"/>
          <w:kern w:val="3"/>
          <w:szCs w:val="24"/>
          <w:lang w:eastAsia="ar-SA"/>
        </w:rPr>
      </w:pPr>
      <w:r>
        <w:rPr>
          <w:rFonts w:eastAsia="Lucida Sans Unicode" w:cs="Arial"/>
          <w:kern w:val="3"/>
          <w:lang w:eastAsia="ar-SA"/>
        </w:rPr>
        <w:t>- wnoszenie sprzętu audiowizualnego oraz wszelkich urządzeń służących do rejestracji obrazu</w:t>
      </w:r>
      <w:r>
        <w:rPr>
          <w:rFonts w:eastAsia="Lucida Sans Unicode" w:cs="Arial"/>
          <w:kern w:val="3"/>
          <w:lang w:eastAsia="ar-SA"/>
        </w:rPr>
        <w:br/>
        <w:t xml:space="preserve"> i dźwięku,</w:t>
      </w:r>
    </w:p>
    <w:p w:rsidR="002475B8" w:rsidRDefault="002475B8" w:rsidP="002475B8">
      <w:pPr>
        <w:shd w:val="clear" w:color="auto" w:fill="FFFFFF"/>
        <w:tabs>
          <w:tab w:val="left" w:pos="567"/>
        </w:tabs>
        <w:suppressAutoHyphens/>
        <w:spacing w:after="200" w:line="276" w:lineRule="auto"/>
        <w:ind w:left="720"/>
        <w:jc w:val="both"/>
        <w:rPr>
          <w:rFonts w:eastAsia="Times New Roman" w:cstheme="minorHAnsi"/>
          <w:color w:val="000000" w:themeColor="text1"/>
          <w:kern w:val="2"/>
          <w:lang w:eastAsia="zh-CN"/>
        </w:rPr>
      </w:pPr>
      <w:r>
        <w:rPr>
          <w:rFonts w:eastAsia="Lucida Sans Unicode" w:cs="Arial"/>
          <w:kern w:val="3"/>
          <w:lang w:eastAsia="ar-SA"/>
        </w:rPr>
        <w:t>- użytkowanie w miejscu wykonywania prac telefonu komórkowego</w:t>
      </w:r>
    </w:p>
    <w:p w:rsidR="002475B8" w:rsidRDefault="002475B8" w:rsidP="006B4CBB">
      <w:pPr>
        <w:numPr>
          <w:ilvl w:val="0"/>
          <w:numId w:val="14"/>
        </w:numPr>
        <w:shd w:val="clear" w:color="auto" w:fill="FFFFFF"/>
        <w:tabs>
          <w:tab w:val="left" w:pos="567"/>
        </w:tabs>
        <w:suppressAutoHyphens/>
        <w:spacing w:after="200" w:line="276" w:lineRule="auto"/>
        <w:ind w:left="567" w:hanging="283"/>
        <w:jc w:val="both"/>
        <w:rPr>
          <w:rFonts w:eastAsia="Times New Roman" w:cstheme="minorHAnsi"/>
          <w:color w:val="000000" w:themeColor="text1"/>
          <w:kern w:val="2"/>
          <w:lang w:eastAsia="zh-CN"/>
        </w:rPr>
      </w:pPr>
      <w:r>
        <w:rPr>
          <w:rFonts w:eastAsia="Lucida Sans Unicode" w:cs="Arial"/>
          <w:kern w:val="3"/>
          <w:lang w:eastAsia="ar-SA"/>
        </w:rPr>
        <w:t>Dostawa, wszelkie informacje oraz materiały uzyskane w czasie, i po jej realizacji nie mogą być wykorzystane do żadnego rodzaju materiałów promocyjnych i czynności z tym związanych, w szczególności prezentac</w:t>
      </w:r>
      <w:r w:rsidR="008C4866">
        <w:rPr>
          <w:rFonts w:eastAsia="Lucida Sans Unicode" w:cs="Arial"/>
          <w:kern w:val="3"/>
          <w:lang w:eastAsia="ar-SA"/>
        </w:rPr>
        <w:t xml:space="preserve">ji </w:t>
      </w:r>
      <w:r>
        <w:rPr>
          <w:rFonts w:eastAsia="Lucida Sans Unicode" w:cs="Arial"/>
          <w:kern w:val="3"/>
          <w:lang w:eastAsia="ar-SA"/>
        </w:rPr>
        <w:t>w środkach masowego przekazu, filmach, ulotkach, folderach itp.</w:t>
      </w:r>
    </w:p>
    <w:p w:rsidR="009F5F92" w:rsidRDefault="009F5F92" w:rsidP="009F5F92">
      <w:pPr>
        <w:spacing w:after="0" w:line="240" w:lineRule="auto"/>
      </w:pPr>
    </w:p>
    <w:p w:rsidR="009F5F92" w:rsidRPr="009F5F92" w:rsidRDefault="009F5F92" w:rsidP="009F5F92">
      <w:pPr>
        <w:spacing w:after="0" w:line="240" w:lineRule="auto"/>
        <w:rPr>
          <w:b/>
          <w:u w:val="single"/>
        </w:rPr>
      </w:pPr>
      <w:r w:rsidRPr="009F5F92">
        <w:rPr>
          <w:b/>
          <w:u w:val="single"/>
        </w:rPr>
        <w:t>Załącz</w:t>
      </w:r>
      <w:r w:rsidR="006E40FC">
        <w:rPr>
          <w:b/>
          <w:u w:val="single"/>
        </w:rPr>
        <w:t>niki stanowią integralną część Z</w:t>
      </w:r>
      <w:r w:rsidRPr="009F5F92">
        <w:rPr>
          <w:b/>
          <w:u w:val="single"/>
        </w:rPr>
        <w:t>amó</w:t>
      </w:r>
      <w:r>
        <w:rPr>
          <w:b/>
          <w:u w:val="single"/>
        </w:rPr>
        <w:t>wienia:</w:t>
      </w:r>
      <w:r w:rsidRPr="009F5F92">
        <w:rPr>
          <w:b/>
          <w:u w:val="single"/>
        </w:rPr>
        <w:t xml:space="preserve"> </w:t>
      </w:r>
    </w:p>
    <w:p w:rsidR="00075B07" w:rsidRDefault="00075B07" w:rsidP="002469B9">
      <w:pPr>
        <w:pStyle w:val="Akapitzlist"/>
        <w:numPr>
          <w:ilvl w:val="0"/>
          <w:numId w:val="16"/>
        </w:numPr>
      </w:pPr>
      <w:r>
        <w:t>Załącznik</w:t>
      </w:r>
      <w:r w:rsidR="009F5F92">
        <w:t xml:space="preserve"> 1 – Opis przedmiotu zamówienia;</w:t>
      </w:r>
    </w:p>
    <w:p w:rsidR="00145A5C" w:rsidRDefault="00145A5C" w:rsidP="00075B07">
      <w:pPr>
        <w:pStyle w:val="Akapitzlist"/>
        <w:numPr>
          <w:ilvl w:val="0"/>
          <w:numId w:val="16"/>
        </w:numPr>
      </w:pPr>
      <w:r>
        <w:t>Z</w:t>
      </w:r>
      <w:r w:rsidR="002469B9">
        <w:t>ałącznik 2</w:t>
      </w:r>
      <w:r>
        <w:t xml:space="preserve"> – Oferta wykonawcy;</w:t>
      </w:r>
    </w:p>
    <w:p w:rsidR="00145A5C" w:rsidRDefault="002469B9" w:rsidP="00075B07">
      <w:pPr>
        <w:pStyle w:val="Akapitzlist"/>
        <w:numPr>
          <w:ilvl w:val="0"/>
          <w:numId w:val="16"/>
        </w:numPr>
      </w:pPr>
      <w:r>
        <w:t>Załącznik 3</w:t>
      </w:r>
      <w:r w:rsidR="00145A5C">
        <w:t xml:space="preserve"> – Protokół odbioru.</w:t>
      </w:r>
    </w:p>
    <w:p w:rsidR="008C5D7A" w:rsidRDefault="008C5D7A" w:rsidP="008C5D7A">
      <w:pPr>
        <w:ind w:left="360"/>
        <w:jc w:val="right"/>
      </w:pPr>
    </w:p>
    <w:p w:rsidR="008C5D7A" w:rsidRDefault="008C5D7A" w:rsidP="008C5D7A">
      <w:pPr>
        <w:ind w:left="360"/>
        <w:jc w:val="right"/>
      </w:pPr>
    </w:p>
    <w:p w:rsidR="009F5F92" w:rsidRDefault="009F5F92" w:rsidP="008C5D7A">
      <w:pPr>
        <w:ind w:left="360"/>
        <w:jc w:val="right"/>
      </w:pPr>
    </w:p>
    <w:p w:rsidR="009F5F92" w:rsidRDefault="009F5F92" w:rsidP="008C5D7A">
      <w:pPr>
        <w:ind w:left="360"/>
        <w:jc w:val="right"/>
      </w:pPr>
    </w:p>
    <w:p w:rsidR="009F5F92" w:rsidRDefault="009F5F92" w:rsidP="008C5D7A">
      <w:pPr>
        <w:ind w:left="360"/>
        <w:jc w:val="right"/>
      </w:pPr>
    </w:p>
    <w:p w:rsidR="009F5F92" w:rsidRDefault="009F5F92" w:rsidP="008C5D7A">
      <w:pPr>
        <w:ind w:left="360"/>
        <w:jc w:val="right"/>
      </w:pPr>
    </w:p>
    <w:p w:rsidR="008C5D7A" w:rsidRDefault="008C5D7A" w:rsidP="008C5D7A">
      <w:pPr>
        <w:ind w:left="360"/>
        <w:jc w:val="right"/>
      </w:pPr>
    </w:p>
    <w:p w:rsidR="008C5D7A" w:rsidRDefault="008C5D7A" w:rsidP="008C5D7A">
      <w:pPr>
        <w:ind w:left="360"/>
        <w:jc w:val="right"/>
      </w:pPr>
    </w:p>
    <w:p w:rsidR="008C5D7A" w:rsidRDefault="008C5D7A" w:rsidP="00E955F2">
      <w:pPr>
        <w:ind w:left="360" w:right="425"/>
        <w:jc w:val="right"/>
      </w:pPr>
      <w:r>
        <w:t xml:space="preserve">WYKONAWCA                                                                           </w:t>
      </w:r>
      <w:r w:rsidR="00E955F2">
        <w:t xml:space="preserve">                               </w:t>
      </w:r>
      <w:r>
        <w:t xml:space="preserve"> ZAMAWIAJĄCY</w:t>
      </w:r>
    </w:p>
    <w:sectPr w:rsidR="008C5D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603" w:rsidRDefault="00C92603" w:rsidP="005F51E8">
      <w:pPr>
        <w:spacing w:after="0" w:line="240" w:lineRule="auto"/>
      </w:pPr>
      <w:r>
        <w:separator/>
      </w:r>
    </w:p>
  </w:endnote>
  <w:endnote w:type="continuationSeparator" w:id="0">
    <w:p w:rsidR="00C92603" w:rsidRDefault="00C92603" w:rsidP="005F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221911"/>
      <w:docPartObj>
        <w:docPartGallery w:val="Page Numbers (Bottom of Page)"/>
        <w:docPartUnique/>
      </w:docPartObj>
    </w:sdtPr>
    <w:sdtEndPr/>
    <w:sdtContent>
      <w:p w:rsidR="0047472A" w:rsidRDefault="004747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4A6">
          <w:rPr>
            <w:noProof/>
          </w:rPr>
          <w:t>1</w:t>
        </w:r>
        <w:r>
          <w:fldChar w:fldCharType="end"/>
        </w:r>
      </w:p>
    </w:sdtContent>
  </w:sdt>
  <w:p w:rsidR="0047472A" w:rsidRDefault="00474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603" w:rsidRDefault="00C92603" w:rsidP="005F51E8">
      <w:pPr>
        <w:spacing w:after="0" w:line="240" w:lineRule="auto"/>
      </w:pPr>
      <w:r>
        <w:separator/>
      </w:r>
    </w:p>
  </w:footnote>
  <w:footnote w:type="continuationSeparator" w:id="0">
    <w:p w:rsidR="00C92603" w:rsidRDefault="00C92603" w:rsidP="005F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2CAC"/>
    <w:multiLevelType w:val="hybridMultilevel"/>
    <w:tmpl w:val="5E845230"/>
    <w:lvl w:ilvl="0" w:tplc="85129C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B0354"/>
    <w:multiLevelType w:val="hybridMultilevel"/>
    <w:tmpl w:val="9D74D644"/>
    <w:lvl w:ilvl="0" w:tplc="85129C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E1926"/>
    <w:multiLevelType w:val="multilevel"/>
    <w:tmpl w:val="EA08F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1043419"/>
    <w:multiLevelType w:val="hybridMultilevel"/>
    <w:tmpl w:val="60B0C050"/>
    <w:lvl w:ilvl="0" w:tplc="04150017">
      <w:start w:val="1"/>
      <w:numFmt w:val="lowerLetter"/>
      <w:lvlText w:val="%1)"/>
      <w:lvlJc w:val="left"/>
      <w:pPr>
        <w:ind w:left="928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74C2D95"/>
    <w:multiLevelType w:val="hybridMultilevel"/>
    <w:tmpl w:val="914EC454"/>
    <w:lvl w:ilvl="0" w:tplc="E8500C6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B13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BD32F44"/>
    <w:multiLevelType w:val="hybridMultilevel"/>
    <w:tmpl w:val="11566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945F3"/>
    <w:multiLevelType w:val="multilevel"/>
    <w:tmpl w:val="FD903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7" w:firstLine="1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B406045"/>
    <w:multiLevelType w:val="hybridMultilevel"/>
    <w:tmpl w:val="F5DC82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0427D2"/>
    <w:multiLevelType w:val="hybridMultilevel"/>
    <w:tmpl w:val="B008B8EC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5C21F73"/>
    <w:multiLevelType w:val="hybridMultilevel"/>
    <w:tmpl w:val="62A49BAE"/>
    <w:lvl w:ilvl="0" w:tplc="E2B01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D7B71"/>
    <w:multiLevelType w:val="hybridMultilevel"/>
    <w:tmpl w:val="DF64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916AF"/>
    <w:multiLevelType w:val="hybridMultilevel"/>
    <w:tmpl w:val="CAC22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D573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F9B20F3"/>
    <w:multiLevelType w:val="hybridMultilevel"/>
    <w:tmpl w:val="95C4E41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2"/>
  </w:num>
  <w:num w:numId="5">
    <w:abstractNumId w:val="0"/>
  </w:num>
  <w:num w:numId="6">
    <w:abstractNumId w:val="1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0"/>
  </w:num>
  <w:num w:numId="12">
    <w:abstractNumId w:val="3"/>
  </w:num>
  <w:num w:numId="13">
    <w:abstractNumId w:val="9"/>
  </w:num>
  <w:num w:numId="14">
    <w:abstractNumId w:val="14"/>
  </w:num>
  <w:num w:numId="15">
    <w:abstractNumId w:val="14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E8"/>
    <w:rsid w:val="000364C2"/>
    <w:rsid w:val="000449DE"/>
    <w:rsid w:val="00075B07"/>
    <w:rsid w:val="00082952"/>
    <w:rsid w:val="00086439"/>
    <w:rsid w:val="000F4AE7"/>
    <w:rsid w:val="00145A5C"/>
    <w:rsid w:val="001D26AC"/>
    <w:rsid w:val="001E4949"/>
    <w:rsid w:val="0020348C"/>
    <w:rsid w:val="0022585E"/>
    <w:rsid w:val="002469B9"/>
    <w:rsid w:val="002475B8"/>
    <w:rsid w:val="002B1D29"/>
    <w:rsid w:val="002C18D3"/>
    <w:rsid w:val="002D5D1E"/>
    <w:rsid w:val="002F60ED"/>
    <w:rsid w:val="00332E83"/>
    <w:rsid w:val="0035543C"/>
    <w:rsid w:val="00397166"/>
    <w:rsid w:val="003A1273"/>
    <w:rsid w:val="003B5FB7"/>
    <w:rsid w:val="00401633"/>
    <w:rsid w:val="004266AF"/>
    <w:rsid w:val="0045593B"/>
    <w:rsid w:val="0047472A"/>
    <w:rsid w:val="004B4F4F"/>
    <w:rsid w:val="004C065E"/>
    <w:rsid w:val="004E1B97"/>
    <w:rsid w:val="005709C8"/>
    <w:rsid w:val="005875E8"/>
    <w:rsid w:val="005A4E11"/>
    <w:rsid w:val="005F51E8"/>
    <w:rsid w:val="00612838"/>
    <w:rsid w:val="0068203D"/>
    <w:rsid w:val="006B4CBB"/>
    <w:rsid w:val="006B7915"/>
    <w:rsid w:val="006D2E9C"/>
    <w:rsid w:val="006E40FC"/>
    <w:rsid w:val="006F35E8"/>
    <w:rsid w:val="00716EF1"/>
    <w:rsid w:val="00732F53"/>
    <w:rsid w:val="00747D90"/>
    <w:rsid w:val="0077204E"/>
    <w:rsid w:val="0077339C"/>
    <w:rsid w:val="007A2AA4"/>
    <w:rsid w:val="00806106"/>
    <w:rsid w:val="0084546A"/>
    <w:rsid w:val="008C4866"/>
    <w:rsid w:val="008C5D7A"/>
    <w:rsid w:val="008C7FE1"/>
    <w:rsid w:val="008D5E75"/>
    <w:rsid w:val="008F1C0F"/>
    <w:rsid w:val="00910A62"/>
    <w:rsid w:val="00966C33"/>
    <w:rsid w:val="00981FB3"/>
    <w:rsid w:val="009E36EB"/>
    <w:rsid w:val="009F268C"/>
    <w:rsid w:val="009F5F92"/>
    <w:rsid w:val="00A23BA0"/>
    <w:rsid w:val="00A560E3"/>
    <w:rsid w:val="00AB43BF"/>
    <w:rsid w:val="00B91C43"/>
    <w:rsid w:val="00B9551E"/>
    <w:rsid w:val="00BB0EAB"/>
    <w:rsid w:val="00C31666"/>
    <w:rsid w:val="00C71BA9"/>
    <w:rsid w:val="00C92603"/>
    <w:rsid w:val="00CA168C"/>
    <w:rsid w:val="00CD0907"/>
    <w:rsid w:val="00D21781"/>
    <w:rsid w:val="00D8230F"/>
    <w:rsid w:val="00DF28ED"/>
    <w:rsid w:val="00E955F2"/>
    <w:rsid w:val="00EB64A6"/>
    <w:rsid w:val="00EF53CD"/>
    <w:rsid w:val="00F11AB1"/>
    <w:rsid w:val="00F4734E"/>
    <w:rsid w:val="00FB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A9246"/>
  <w15:chartTrackingRefBased/>
  <w15:docId w15:val="{AE3F0B56-BE9C-446D-92D4-DD879C03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E8"/>
  </w:style>
  <w:style w:type="paragraph" w:styleId="Stopka">
    <w:name w:val="footer"/>
    <w:basedOn w:val="Normalny"/>
    <w:link w:val="StopkaZnak"/>
    <w:uiPriority w:val="99"/>
    <w:unhideWhenUsed/>
    <w:rsid w:val="005F5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E8"/>
  </w:style>
  <w:style w:type="paragraph" w:styleId="Akapitzlist">
    <w:name w:val="List Paragraph"/>
    <w:basedOn w:val="Normalny"/>
    <w:uiPriority w:val="34"/>
    <w:qFormat/>
    <w:rsid w:val="005F51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D84BAF6-DD92-41CE-A3BB-A49B67A8CA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Wilczyński Piotr</dc:creator>
  <cp:keywords/>
  <dc:description/>
  <cp:lastModifiedBy>Wilczyński Piotr</cp:lastModifiedBy>
  <cp:revision>41</cp:revision>
  <cp:lastPrinted>2021-11-23T13:06:00Z</cp:lastPrinted>
  <dcterms:created xsi:type="dcterms:W3CDTF">2021-11-02T12:38:00Z</dcterms:created>
  <dcterms:modified xsi:type="dcterms:W3CDTF">2022-06-13T09:09:00Z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fd67f29e-a246-4fc7-b2aa-4ddd4c30934a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JP19BkzFPCa+4yoY3wkF2dnk7XcQUVdp</vt:lpwstr>
  </property>
</Properties>
</file>