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56" w:rsidRPr="00086E97" w:rsidRDefault="0046580A" w:rsidP="0046580A">
      <w:pPr>
        <w:jc w:val="right"/>
        <w:rPr>
          <w:rFonts w:cstheme="minorHAnsi"/>
        </w:rPr>
      </w:pPr>
      <w:bookmarkStart w:id="0" w:name="_GoBack"/>
      <w:bookmarkEnd w:id="0"/>
      <w:proofErr w:type="spellStart"/>
      <w:r>
        <w:rPr>
          <w:rFonts w:cstheme="minorHAnsi"/>
        </w:rPr>
        <w:t>Enclosure</w:t>
      </w:r>
      <w:proofErr w:type="spellEnd"/>
      <w:r>
        <w:rPr>
          <w:rFonts w:cstheme="minorHAnsi"/>
        </w:rPr>
        <w:t xml:space="preserve"> nr 4</w:t>
      </w:r>
    </w:p>
    <w:p w:rsidR="00150856" w:rsidRPr="00086E97" w:rsidRDefault="00150856" w:rsidP="00150856">
      <w:pPr>
        <w:spacing w:before="150" w:after="150" w:line="360" w:lineRule="atLeast"/>
        <w:jc w:val="center"/>
        <w:textAlignment w:val="baseline"/>
        <w:outlineLvl w:val="0"/>
        <w:rPr>
          <w:rFonts w:eastAsia="Times New Roman" w:cstheme="minorHAnsi"/>
          <w:color w:val="134D8E"/>
          <w:kern w:val="36"/>
          <w:lang w:val="en-GB" w:eastAsia="pl-PL"/>
        </w:rPr>
      </w:pPr>
      <w:r w:rsidRPr="00086E97">
        <w:rPr>
          <w:rFonts w:eastAsia="Times New Roman" w:cstheme="minorHAnsi"/>
          <w:color w:val="134D8E"/>
          <w:kern w:val="36"/>
          <w:lang w:val="en-GB" w:eastAsia="pl-PL"/>
        </w:rPr>
        <w:t>INFORMATION CLAUSE ON PERSONAL DATA PROCESSING</w:t>
      </w:r>
    </w:p>
    <w:p w:rsidR="00150856" w:rsidRPr="00086E97" w:rsidRDefault="00150856" w:rsidP="00150856">
      <w:pPr>
        <w:tabs>
          <w:tab w:val="left" w:pos="4010"/>
        </w:tabs>
        <w:spacing w:before="75" w:after="150" w:line="330" w:lineRule="atLeast"/>
        <w:jc w:val="center"/>
        <w:textAlignment w:val="baseline"/>
        <w:rPr>
          <w:rFonts w:cstheme="minorHAnsi"/>
          <w:lang w:val="en-GB"/>
        </w:rPr>
      </w:pPr>
      <w:r w:rsidRPr="00086E97">
        <w:rPr>
          <w:rFonts w:cstheme="minorHAnsi"/>
          <w:lang w:val="en-GB"/>
        </w:rPr>
        <w:t xml:space="preserve">at the National Centre for </w:t>
      </w:r>
      <w:r w:rsidRPr="00086E97">
        <w:rPr>
          <w:rFonts w:eastAsia="Times New Roman" w:cstheme="minorHAnsi"/>
          <w:color w:val="353535"/>
          <w:lang w:val="en-GB" w:eastAsia="pl-PL"/>
        </w:rPr>
        <w:t>Nuclear</w:t>
      </w:r>
      <w:r w:rsidRPr="00086E97">
        <w:rPr>
          <w:rFonts w:cstheme="minorHAnsi"/>
          <w:lang w:val="en-GB"/>
        </w:rPr>
        <w:t xml:space="preserve"> Research</w:t>
      </w:r>
    </w:p>
    <w:p w:rsidR="00150856" w:rsidRPr="00086E97" w:rsidRDefault="00150856" w:rsidP="00100D5D">
      <w:pPr>
        <w:jc w:val="both"/>
        <w:rPr>
          <w:rFonts w:cstheme="minorHAnsi"/>
          <w:lang w:val="en-GB"/>
        </w:rPr>
      </w:pPr>
      <w:r w:rsidRPr="00086E97">
        <w:rPr>
          <w:rFonts w:cstheme="minorHAnsi"/>
          <w:lang w:val="en-GB"/>
        </w:rPr>
        <w:t xml:space="preserve">In accordance with Article 13 of the Regulation (EU) 2016/679 of the European Parliament and of the Council of 27 April 2016 on the protection of natural persons with regard to the processing of personal data and on the free movement of such data and repealing Directive 95/46/EC, we inform you that: </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The </w:t>
      </w:r>
      <w:r w:rsidR="00E0795A" w:rsidRPr="00086E97">
        <w:rPr>
          <w:rFonts w:cstheme="minorHAnsi"/>
          <w:lang w:val="en-GB"/>
        </w:rPr>
        <w:t xml:space="preserve">Personal Data Controller </w:t>
      </w:r>
      <w:r w:rsidRPr="00086E97">
        <w:rPr>
          <w:rFonts w:cstheme="minorHAnsi"/>
          <w:lang w:val="en-GB"/>
        </w:rPr>
        <w:t xml:space="preserve">of your personal data processed in connection with the conduct of the public procurement procedure is the National Centre for Nuclear Research (hereinafter referred to as the </w:t>
      </w:r>
      <w:r w:rsidR="006621CA" w:rsidRPr="00086E97">
        <w:rPr>
          <w:rFonts w:cstheme="minorHAnsi"/>
          <w:lang w:val="en-GB"/>
        </w:rPr>
        <w:t>Controller</w:t>
      </w:r>
      <w:r w:rsidRPr="00086E97">
        <w:rPr>
          <w:rFonts w:cstheme="minorHAnsi"/>
          <w:lang w:val="en-GB"/>
        </w:rPr>
        <w:t xml:space="preserve"> or NCBJ) with its registered office in </w:t>
      </w:r>
      <w:proofErr w:type="spellStart"/>
      <w:r w:rsidRPr="00086E97">
        <w:rPr>
          <w:rFonts w:cstheme="minorHAnsi"/>
          <w:lang w:val="en-GB"/>
        </w:rPr>
        <w:t>Otwock</w:t>
      </w:r>
      <w:proofErr w:type="spellEnd"/>
      <w:r w:rsidRPr="00086E97">
        <w:rPr>
          <w:rFonts w:cstheme="minorHAnsi"/>
          <w:lang w:val="en-GB"/>
        </w:rPr>
        <w:t xml:space="preserve">, 7 Andrzeja </w:t>
      </w:r>
      <w:proofErr w:type="spellStart"/>
      <w:r w:rsidRPr="00086E97">
        <w:rPr>
          <w:rFonts w:cstheme="minorHAnsi"/>
          <w:lang w:val="en-GB"/>
        </w:rPr>
        <w:t>Sołtana</w:t>
      </w:r>
      <w:proofErr w:type="spellEnd"/>
      <w:r w:rsidRPr="00086E97">
        <w:rPr>
          <w:rFonts w:cstheme="minorHAnsi"/>
          <w:lang w:val="en-GB"/>
        </w:rPr>
        <w:t xml:space="preserve"> Street, 05-400 </w:t>
      </w:r>
      <w:proofErr w:type="spellStart"/>
      <w:r w:rsidRPr="00086E97">
        <w:rPr>
          <w:rFonts w:cstheme="minorHAnsi"/>
          <w:lang w:val="en-GB"/>
        </w:rPr>
        <w:t>Otwock</w:t>
      </w:r>
      <w:proofErr w:type="spellEnd"/>
      <w:r w:rsidRPr="00086E97">
        <w:rPr>
          <w:rFonts w:cstheme="minorHAnsi"/>
          <w:lang w:val="en-GB"/>
        </w:rPr>
        <w:t xml:space="preserve">. </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If you have any questions concerning the manner and scope of processing of your personal data, or your rights, you can contact the Data Protection Officer at NCBJ at the address given above or by an e-mail at </w:t>
      </w:r>
      <w:hyperlink r:id="rId8" w:history="1">
        <w:r w:rsidRPr="00086E97">
          <w:rPr>
            <w:rStyle w:val="Hipercze"/>
            <w:rFonts w:cstheme="minorHAnsi"/>
            <w:lang w:val="en-GB"/>
          </w:rPr>
          <w:t>iod@ncbj.gov.pl</w:t>
        </w:r>
      </w:hyperlink>
      <w:r w:rsidRPr="00086E97">
        <w:rPr>
          <w:rFonts w:cstheme="minorHAnsi"/>
          <w:lang w:val="en-GB"/>
        </w:rPr>
        <w:t xml:space="preserve"> or by phone at 22 273 22 31.</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The </w:t>
      </w:r>
      <w:r w:rsidR="00E0795A" w:rsidRPr="00086E97">
        <w:rPr>
          <w:rFonts w:cstheme="minorHAnsi"/>
          <w:lang w:val="en-GB"/>
        </w:rPr>
        <w:t xml:space="preserve">Personal Data Controller </w:t>
      </w:r>
      <w:r w:rsidRPr="00086E97">
        <w:rPr>
          <w:rFonts w:cstheme="minorHAnsi"/>
          <w:lang w:val="en-GB"/>
        </w:rPr>
        <w:t xml:space="preserve">processes your personal data on the basis of applicable laws, i.e. in particular: </w:t>
      </w:r>
    </w:p>
    <w:p w:rsidR="00150856" w:rsidRPr="00086E97" w:rsidRDefault="00150856" w:rsidP="00150856">
      <w:pPr>
        <w:spacing w:after="0" w:line="330" w:lineRule="atLeast"/>
        <w:ind w:left="601"/>
        <w:jc w:val="both"/>
        <w:textAlignment w:val="baseline"/>
        <w:rPr>
          <w:rFonts w:cstheme="minorHAnsi"/>
          <w:lang w:val="en-GB"/>
        </w:rPr>
      </w:pPr>
    </w:p>
    <w:p w:rsidR="00150856" w:rsidRPr="00086E97" w:rsidRDefault="00150856" w:rsidP="00150856">
      <w:pPr>
        <w:ind w:left="601"/>
        <w:rPr>
          <w:rFonts w:cstheme="minorHAnsi"/>
          <w:lang w:val="en-GB"/>
        </w:rPr>
      </w:pPr>
      <w:r w:rsidRPr="00086E97">
        <w:rPr>
          <w:rFonts w:cstheme="minorHAnsi"/>
          <w:lang w:val="en-GB"/>
        </w:rPr>
        <w:t xml:space="preserve">1) the Act of 11 September 2019 Public procurement law and its implementing acts, including </w:t>
      </w:r>
      <w:r w:rsidR="006A505B" w:rsidRPr="00086E97">
        <w:rPr>
          <w:rFonts w:cstheme="minorHAnsi"/>
          <w:lang w:val="en-GB"/>
        </w:rPr>
        <w:t xml:space="preserve">the one </w:t>
      </w:r>
      <w:r w:rsidRPr="00086E97">
        <w:rPr>
          <w:rFonts w:cstheme="minorHAnsi"/>
          <w:lang w:val="en-GB"/>
        </w:rPr>
        <w:t>on the</w:t>
      </w:r>
      <w:r w:rsidR="00E0795A" w:rsidRPr="00086E97">
        <w:rPr>
          <w:rFonts w:cstheme="minorHAnsi"/>
          <w:lang w:val="en-GB"/>
        </w:rPr>
        <w:t xml:space="preserve"> types of</w:t>
      </w:r>
      <w:r w:rsidRPr="00086E97">
        <w:rPr>
          <w:rFonts w:cstheme="minorHAnsi"/>
          <w:lang w:val="en-GB"/>
        </w:rPr>
        <w:t xml:space="preserve"> documents </w:t>
      </w:r>
      <w:r w:rsidR="00E0795A" w:rsidRPr="00086E97">
        <w:rPr>
          <w:rFonts w:cstheme="minorHAnsi"/>
          <w:lang w:val="en-GB"/>
        </w:rPr>
        <w:t xml:space="preserve">that may </w:t>
      </w:r>
      <w:r w:rsidRPr="00086E97">
        <w:rPr>
          <w:rFonts w:cstheme="minorHAnsi"/>
          <w:lang w:val="en-GB"/>
        </w:rPr>
        <w:t>be requ</w:t>
      </w:r>
      <w:r w:rsidR="00E0795A" w:rsidRPr="00086E97">
        <w:rPr>
          <w:rFonts w:cstheme="minorHAnsi"/>
          <w:lang w:val="en-GB"/>
        </w:rPr>
        <w:t>ir</w:t>
      </w:r>
      <w:r w:rsidRPr="00086E97">
        <w:rPr>
          <w:rFonts w:cstheme="minorHAnsi"/>
          <w:lang w:val="en-GB"/>
        </w:rPr>
        <w:t xml:space="preserve">ed by </w:t>
      </w:r>
      <w:r w:rsidR="006A505B" w:rsidRPr="00086E97">
        <w:rPr>
          <w:rFonts w:cstheme="minorHAnsi"/>
          <w:lang w:val="en-GB"/>
        </w:rPr>
        <w:t xml:space="preserve">the </w:t>
      </w:r>
      <w:r w:rsidRPr="00086E97">
        <w:rPr>
          <w:rFonts w:cstheme="minorHAnsi"/>
          <w:lang w:val="en-GB"/>
        </w:rPr>
        <w:t xml:space="preserve">contracting authority from </w:t>
      </w:r>
      <w:r w:rsidR="006A505B" w:rsidRPr="00086E97">
        <w:rPr>
          <w:rFonts w:cstheme="minorHAnsi"/>
          <w:lang w:val="en-GB"/>
        </w:rPr>
        <w:t xml:space="preserve"> the </w:t>
      </w:r>
      <w:r w:rsidR="00E0795A" w:rsidRPr="00086E97">
        <w:rPr>
          <w:rFonts w:cstheme="minorHAnsi"/>
          <w:lang w:val="en-GB"/>
        </w:rPr>
        <w:t>contractor</w:t>
      </w:r>
    </w:p>
    <w:p w:rsidR="00150856" w:rsidRPr="00086E97" w:rsidRDefault="00150856" w:rsidP="00150856">
      <w:pPr>
        <w:ind w:left="601"/>
        <w:rPr>
          <w:rFonts w:cstheme="minorHAnsi"/>
          <w:lang w:val="en-GB"/>
        </w:rPr>
      </w:pPr>
      <w:r w:rsidRPr="00086E97">
        <w:rPr>
          <w:rFonts w:cstheme="minorHAnsi"/>
          <w:lang w:val="en-GB"/>
        </w:rPr>
        <w:t xml:space="preserve">2) the Act of 14 July 1983 on the national archival resource and archives </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Your personal data </w:t>
      </w:r>
      <w:r w:rsidR="00E0795A" w:rsidRPr="00086E97">
        <w:rPr>
          <w:rFonts w:cstheme="minorHAnsi"/>
          <w:lang w:val="en-GB"/>
        </w:rPr>
        <w:t>is</w:t>
      </w:r>
      <w:r w:rsidRPr="00086E97">
        <w:rPr>
          <w:rFonts w:cstheme="minorHAnsi"/>
          <w:lang w:val="en-GB"/>
        </w:rPr>
        <w:t xml:space="preserve"> processed </w:t>
      </w:r>
      <w:r w:rsidR="00E0795A" w:rsidRPr="00086E97">
        <w:rPr>
          <w:rFonts w:cstheme="minorHAnsi"/>
          <w:lang w:val="en-GB"/>
        </w:rPr>
        <w:t>in order to</w:t>
      </w:r>
      <w:r w:rsidRPr="00086E97">
        <w:rPr>
          <w:rFonts w:cstheme="minorHAnsi"/>
          <w:lang w:val="en-GB"/>
        </w:rPr>
        <w:t xml:space="preserve">: </w:t>
      </w:r>
    </w:p>
    <w:p w:rsidR="00150856" w:rsidRPr="00086E97" w:rsidRDefault="00150856" w:rsidP="00150856">
      <w:pPr>
        <w:rPr>
          <w:rFonts w:cstheme="minorHAnsi"/>
          <w:lang w:val="en-GB"/>
        </w:rPr>
      </w:pPr>
    </w:p>
    <w:tbl>
      <w:tblPr>
        <w:tblStyle w:val="Tabela-Siatka"/>
        <w:tblW w:w="0" w:type="auto"/>
        <w:tblLook w:val="04A0" w:firstRow="1" w:lastRow="0" w:firstColumn="1" w:lastColumn="0" w:noHBand="0" w:noVBand="1"/>
      </w:tblPr>
      <w:tblGrid>
        <w:gridCol w:w="4531"/>
        <w:gridCol w:w="4531"/>
      </w:tblGrid>
      <w:tr w:rsidR="00150856" w:rsidRPr="00086E97" w:rsidTr="00384811">
        <w:tc>
          <w:tcPr>
            <w:tcW w:w="4531" w:type="dxa"/>
          </w:tcPr>
          <w:p w:rsidR="00150856" w:rsidRPr="00086E97" w:rsidRDefault="00150856" w:rsidP="00384811">
            <w:pPr>
              <w:contextualSpacing/>
              <w:jc w:val="both"/>
              <w:rPr>
                <w:rFonts w:asciiTheme="minorHAnsi" w:eastAsia="Times New Roman" w:hAnsiTheme="minorHAnsi" w:cstheme="minorHAnsi"/>
                <w:b/>
                <w:sz w:val="22"/>
                <w:szCs w:val="22"/>
                <w:lang w:eastAsia="pl-PL"/>
              </w:rPr>
            </w:pPr>
            <w:proofErr w:type="spellStart"/>
            <w:r w:rsidRPr="00086E97">
              <w:rPr>
                <w:rFonts w:asciiTheme="minorHAnsi" w:eastAsia="Times New Roman" w:hAnsiTheme="minorHAnsi" w:cstheme="minorHAnsi"/>
                <w:b/>
                <w:sz w:val="22"/>
                <w:szCs w:val="22"/>
                <w:lang w:eastAsia="pl-PL"/>
              </w:rPr>
              <w:t>Purpose</w:t>
            </w:r>
            <w:proofErr w:type="spellEnd"/>
            <w:r w:rsidRPr="00086E97">
              <w:rPr>
                <w:rFonts w:asciiTheme="minorHAnsi" w:eastAsia="Times New Roman" w:hAnsiTheme="minorHAnsi" w:cstheme="minorHAnsi"/>
                <w:b/>
                <w:sz w:val="22"/>
                <w:szCs w:val="22"/>
                <w:lang w:eastAsia="pl-PL"/>
              </w:rPr>
              <w:t xml:space="preserve"> of </w:t>
            </w:r>
            <w:proofErr w:type="spellStart"/>
            <w:r w:rsidRPr="00086E97">
              <w:rPr>
                <w:rFonts w:asciiTheme="minorHAnsi" w:eastAsia="Times New Roman" w:hAnsiTheme="minorHAnsi" w:cstheme="minorHAnsi"/>
                <w:b/>
                <w:sz w:val="22"/>
                <w:szCs w:val="22"/>
                <w:lang w:eastAsia="pl-PL"/>
              </w:rPr>
              <w:t>processing</w:t>
            </w:r>
            <w:proofErr w:type="spellEnd"/>
          </w:p>
        </w:tc>
        <w:tc>
          <w:tcPr>
            <w:tcW w:w="4531" w:type="dxa"/>
          </w:tcPr>
          <w:p w:rsidR="00150856" w:rsidRPr="00086E97" w:rsidRDefault="00150856" w:rsidP="00384811">
            <w:pPr>
              <w:contextualSpacing/>
              <w:jc w:val="both"/>
              <w:rPr>
                <w:rFonts w:asciiTheme="minorHAnsi" w:eastAsia="Times New Roman" w:hAnsiTheme="minorHAnsi" w:cstheme="minorHAnsi"/>
                <w:b/>
                <w:sz w:val="22"/>
                <w:szCs w:val="22"/>
                <w:lang w:eastAsia="pl-PL"/>
              </w:rPr>
            </w:pPr>
            <w:proofErr w:type="spellStart"/>
            <w:r w:rsidRPr="00086E97">
              <w:rPr>
                <w:rFonts w:asciiTheme="minorHAnsi" w:eastAsia="Times New Roman" w:hAnsiTheme="minorHAnsi" w:cstheme="minorHAnsi"/>
                <w:b/>
                <w:sz w:val="22"/>
                <w:szCs w:val="22"/>
                <w:lang w:eastAsia="pl-PL"/>
              </w:rPr>
              <w:t>Legal</w:t>
            </w:r>
            <w:proofErr w:type="spellEnd"/>
            <w:r w:rsidRPr="00086E97">
              <w:rPr>
                <w:rFonts w:asciiTheme="minorHAnsi" w:eastAsia="Times New Roman" w:hAnsiTheme="minorHAnsi" w:cstheme="minorHAnsi"/>
                <w:b/>
                <w:sz w:val="22"/>
                <w:szCs w:val="22"/>
                <w:lang w:eastAsia="pl-PL"/>
              </w:rPr>
              <w:t xml:space="preserve"> </w:t>
            </w:r>
            <w:proofErr w:type="spellStart"/>
            <w:r w:rsidRPr="00086E97">
              <w:rPr>
                <w:rFonts w:asciiTheme="minorHAnsi" w:eastAsia="Times New Roman" w:hAnsiTheme="minorHAnsi" w:cstheme="minorHAnsi"/>
                <w:b/>
                <w:sz w:val="22"/>
                <w:szCs w:val="22"/>
                <w:lang w:eastAsia="pl-PL"/>
              </w:rPr>
              <w:t>basis</w:t>
            </w:r>
            <w:proofErr w:type="spellEnd"/>
            <w:r w:rsidRPr="00086E97">
              <w:rPr>
                <w:rFonts w:asciiTheme="minorHAnsi" w:eastAsia="Times New Roman" w:hAnsiTheme="minorHAnsi" w:cstheme="minorHAnsi"/>
                <w:b/>
                <w:sz w:val="22"/>
                <w:szCs w:val="22"/>
                <w:lang w:eastAsia="pl-PL"/>
              </w:rPr>
              <w:t xml:space="preserve"> for </w:t>
            </w:r>
            <w:proofErr w:type="spellStart"/>
            <w:r w:rsidRPr="00086E97">
              <w:rPr>
                <w:rFonts w:asciiTheme="minorHAnsi" w:eastAsia="Times New Roman" w:hAnsiTheme="minorHAnsi" w:cstheme="minorHAnsi"/>
                <w:b/>
                <w:sz w:val="22"/>
                <w:szCs w:val="22"/>
                <w:lang w:eastAsia="pl-PL"/>
              </w:rPr>
              <w:t>processing</w:t>
            </w:r>
            <w:proofErr w:type="spellEnd"/>
          </w:p>
        </w:tc>
      </w:tr>
      <w:tr w:rsidR="00150856" w:rsidRPr="00784608" w:rsidTr="00384811">
        <w:tc>
          <w:tcPr>
            <w:tcW w:w="4531" w:type="dxa"/>
          </w:tcPr>
          <w:p w:rsidR="00150856" w:rsidRPr="00784608" w:rsidRDefault="00150856" w:rsidP="00384811">
            <w:pPr>
              <w:rPr>
                <w:rFonts w:asciiTheme="minorHAnsi" w:hAnsiTheme="minorHAnsi" w:cstheme="minorHAnsi"/>
                <w:sz w:val="22"/>
                <w:szCs w:val="22"/>
              </w:rPr>
            </w:pPr>
            <w:proofErr w:type="spellStart"/>
            <w:r w:rsidRPr="00784608">
              <w:rPr>
                <w:rFonts w:asciiTheme="minorHAnsi" w:hAnsiTheme="minorHAnsi" w:cstheme="minorHAnsi"/>
                <w:sz w:val="22"/>
                <w:szCs w:val="22"/>
              </w:rPr>
              <w:t>Conducting</w:t>
            </w:r>
            <w:proofErr w:type="spellEnd"/>
            <w:r w:rsidRPr="00784608">
              <w:rPr>
                <w:rFonts w:asciiTheme="minorHAnsi" w:hAnsiTheme="minorHAnsi" w:cstheme="minorHAnsi"/>
                <w:sz w:val="22"/>
                <w:szCs w:val="22"/>
              </w:rPr>
              <w:t xml:space="preserve"> public </w:t>
            </w:r>
            <w:proofErr w:type="spellStart"/>
            <w:r w:rsidRPr="00784608">
              <w:rPr>
                <w:rFonts w:asciiTheme="minorHAnsi" w:hAnsiTheme="minorHAnsi" w:cstheme="minorHAnsi"/>
                <w:sz w:val="22"/>
                <w:szCs w:val="22"/>
              </w:rPr>
              <w:t>procurement</w:t>
            </w:r>
            <w:proofErr w:type="spellEnd"/>
            <w:r w:rsidRPr="00784608">
              <w:rPr>
                <w:rFonts w:asciiTheme="minorHAnsi" w:hAnsiTheme="minorHAnsi" w:cstheme="minorHAnsi"/>
                <w:sz w:val="22"/>
                <w:szCs w:val="22"/>
              </w:rPr>
              <w:t xml:space="preserve"> </w:t>
            </w:r>
            <w:proofErr w:type="spellStart"/>
            <w:r w:rsidRPr="00784608">
              <w:rPr>
                <w:rFonts w:asciiTheme="minorHAnsi" w:hAnsiTheme="minorHAnsi" w:cstheme="minorHAnsi"/>
                <w:sz w:val="22"/>
                <w:szCs w:val="22"/>
              </w:rPr>
              <w:t>proceedings</w:t>
            </w:r>
            <w:proofErr w:type="spellEnd"/>
          </w:p>
        </w:tc>
        <w:tc>
          <w:tcPr>
            <w:tcW w:w="4531" w:type="dxa"/>
          </w:tcPr>
          <w:p w:rsidR="00150856" w:rsidRPr="00784608" w:rsidRDefault="00834754" w:rsidP="00834754">
            <w:pPr>
              <w:shd w:val="clear" w:color="auto" w:fill="FFFFFF"/>
              <w:spacing w:line="280" w:lineRule="atLeast"/>
              <w:textAlignment w:val="baseline"/>
              <w:rPr>
                <w:rFonts w:asciiTheme="minorHAnsi" w:eastAsia="Times New Roman" w:hAnsiTheme="minorHAnsi" w:cstheme="minorHAnsi"/>
                <w:color w:val="333333"/>
                <w:sz w:val="22"/>
                <w:szCs w:val="22"/>
                <w:lang w:val="en-GB" w:eastAsia="pl-PL"/>
              </w:rPr>
            </w:pPr>
            <w:r w:rsidRPr="00784608">
              <w:rPr>
                <w:rFonts w:asciiTheme="minorHAnsi" w:eastAsia="Times New Roman" w:hAnsiTheme="minorHAnsi" w:cstheme="minorHAnsi"/>
                <w:color w:val="333333"/>
                <w:sz w:val="22"/>
                <w:szCs w:val="22"/>
                <w:lang w:val="en-GB" w:eastAsia="pl-PL"/>
              </w:rPr>
              <w:t xml:space="preserve">processing is necessary for </w:t>
            </w:r>
            <w:r w:rsidR="006A505B" w:rsidRPr="00784608">
              <w:rPr>
                <w:rFonts w:asciiTheme="minorHAnsi" w:eastAsia="Times New Roman" w:hAnsiTheme="minorHAnsi" w:cstheme="minorHAnsi"/>
                <w:color w:val="333333"/>
                <w:sz w:val="22"/>
                <w:szCs w:val="22"/>
                <w:lang w:val="en-GB" w:eastAsia="pl-PL"/>
              </w:rPr>
              <w:t xml:space="preserve">the </w:t>
            </w:r>
            <w:r w:rsidRPr="00784608">
              <w:rPr>
                <w:rFonts w:asciiTheme="minorHAnsi" w:eastAsia="Times New Roman" w:hAnsiTheme="minorHAnsi" w:cstheme="minorHAnsi"/>
                <w:color w:val="333333"/>
                <w:sz w:val="22"/>
                <w:szCs w:val="22"/>
                <w:lang w:val="en-GB" w:eastAsia="pl-PL"/>
              </w:rPr>
              <w:t>compliance with a legal obligation to which the controller is subject; (Art. 6.1.c GDPR)</w:t>
            </w:r>
          </w:p>
        </w:tc>
      </w:tr>
      <w:tr w:rsidR="00150856" w:rsidRPr="00086E97" w:rsidTr="00384811">
        <w:tc>
          <w:tcPr>
            <w:tcW w:w="4531" w:type="dxa"/>
          </w:tcPr>
          <w:p w:rsidR="00150856" w:rsidRPr="00784608" w:rsidRDefault="00150856" w:rsidP="00384811">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Execution of agreements concluded with contractors</w:t>
            </w:r>
          </w:p>
          <w:p w:rsidR="00150856" w:rsidRPr="00784608" w:rsidRDefault="00150856" w:rsidP="00384811">
            <w:pPr>
              <w:contextualSpacing/>
              <w:jc w:val="both"/>
              <w:rPr>
                <w:rFonts w:asciiTheme="minorHAnsi" w:eastAsia="Times New Roman" w:hAnsiTheme="minorHAnsi" w:cstheme="minorHAnsi"/>
                <w:sz w:val="22"/>
                <w:szCs w:val="22"/>
                <w:lang w:val="en-GB" w:eastAsia="pl-PL"/>
              </w:rPr>
            </w:pPr>
          </w:p>
        </w:tc>
        <w:tc>
          <w:tcPr>
            <w:tcW w:w="4531" w:type="dxa"/>
          </w:tcPr>
          <w:p w:rsidR="00834754" w:rsidRPr="00784608" w:rsidRDefault="00834754" w:rsidP="00834754">
            <w:pPr>
              <w:spacing w:line="280" w:lineRule="atLeast"/>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color w:val="333333"/>
                <w:sz w:val="22"/>
                <w:szCs w:val="22"/>
                <w:lang w:val="en-GB" w:eastAsia="pl-PL"/>
              </w:rPr>
              <w:t xml:space="preserve">processing is necessary for the performance of a contract </w:t>
            </w:r>
          </w:p>
          <w:p w:rsidR="00150856" w:rsidRPr="00784608" w:rsidRDefault="00150856" w:rsidP="00834754">
            <w:pPr>
              <w:spacing w:line="280" w:lineRule="atLeast"/>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(Article 6</w:t>
            </w:r>
            <w:r w:rsidR="00834754" w:rsidRPr="00784608">
              <w:rPr>
                <w:rFonts w:asciiTheme="minorHAnsi" w:eastAsia="Times New Roman" w:hAnsiTheme="minorHAnsi" w:cstheme="minorHAnsi"/>
                <w:sz w:val="22"/>
                <w:szCs w:val="22"/>
                <w:lang w:val="en-GB" w:eastAsia="pl-PL"/>
              </w:rPr>
              <w:t>.</w:t>
            </w:r>
            <w:r w:rsidRPr="00784608">
              <w:rPr>
                <w:rFonts w:asciiTheme="minorHAnsi" w:eastAsia="Times New Roman" w:hAnsiTheme="minorHAnsi" w:cstheme="minorHAnsi"/>
                <w:sz w:val="22"/>
                <w:szCs w:val="22"/>
                <w:lang w:val="en-GB" w:eastAsia="pl-PL"/>
              </w:rPr>
              <w:t>1</w:t>
            </w:r>
            <w:r w:rsidR="00834754" w:rsidRPr="00784608">
              <w:rPr>
                <w:rFonts w:asciiTheme="minorHAnsi" w:eastAsia="Times New Roman" w:hAnsiTheme="minorHAnsi" w:cstheme="minorHAnsi"/>
                <w:sz w:val="22"/>
                <w:szCs w:val="22"/>
                <w:lang w:val="en-GB" w:eastAsia="pl-PL"/>
              </w:rPr>
              <w:t>.</w:t>
            </w:r>
            <w:r w:rsidRPr="00784608">
              <w:rPr>
                <w:rFonts w:asciiTheme="minorHAnsi" w:eastAsia="Times New Roman" w:hAnsiTheme="minorHAnsi" w:cstheme="minorHAnsi"/>
                <w:sz w:val="22"/>
                <w:szCs w:val="22"/>
                <w:lang w:val="en-GB" w:eastAsia="pl-PL"/>
              </w:rPr>
              <w:t xml:space="preserve">b </w:t>
            </w:r>
            <w:r w:rsidR="00834754" w:rsidRPr="00784608">
              <w:rPr>
                <w:rFonts w:asciiTheme="minorHAnsi" w:eastAsia="Times New Roman" w:hAnsiTheme="minorHAnsi" w:cstheme="minorHAnsi"/>
                <w:sz w:val="22"/>
                <w:szCs w:val="22"/>
                <w:lang w:val="en-GB" w:eastAsia="pl-PL"/>
              </w:rPr>
              <w:t>GDPR</w:t>
            </w:r>
            <w:r w:rsidRPr="00784608">
              <w:rPr>
                <w:rFonts w:asciiTheme="minorHAnsi" w:eastAsia="Times New Roman" w:hAnsiTheme="minorHAnsi" w:cstheme="minorHAnsi"/>
                <w:sz w:val="22"/>
                <w:szCs w:val="22"/>
                <w:lang w:val="en-GB" w:eastAsia="pl-PL"/>
              </w:rPr>
              <w:t>)</w:t>
            </w:r>
          </w:p>
        </w:tc>
      </w:tr>
      <w:tr w:rsidR="00150856" w:rsidRPr="00784608" w:rsidTr="00384811">
        <w:tc>
          <w:tcPr>
            <w:tcW w:w="4531" w:type="dxa"/>
          </w:tcPr>
          <w:p w:rsidR="00150856" w:rsidRPr="00784608" w:rsidRDefault="00150856" w:rsidP="009D587B">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 xml:space="preserve">Handling activities related to the </w:t>
            </w:r>
            <w:r w:rsidR="009D587B" w:rsidRPr="00784608">
              <w:rPr>
                <w:rFonts w:asciiTheme="minorHAnsi" w:eastAsia="Times New Roman" w:hAnsiTheme="minorHAnsi" w:cstheme="minorHAnsi"/>
                <w:sz w:val="22"/>
                <w:szCs w:val="22"/>
                <w:lang w:val="en-GB" w:eastAsia="pl-PL"/>
              </w:rPr>
              <w:t>conducted contract</w:t>
            </w:r>
          </w:p>
        </w:tc>
        <w:tc>
          <w:tcPr>
            <w:tcW w:w="4531" w:type="dxa"/>
          </w:tcPr>
          <w:p w:rsidR="00834754" w:rsidRPr="00784608" w:rsidRDefault="00834754" w:rsidP="00834754">
            <w:pPr>
              <w:spacing w:line="280" w:lineRule="atLeast"/>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color w:val="333333"/>
                <w:sz w:val="22"/>
                <w:szCs w:val="22"/>
                <w:lang w:val="en-GB" w:eastAsia="pl-PL"/>
              </w:rPr>
              <w:t xml:space="preserve">processing is necessary for the performance of a contract </w:t>
            </w:r>
          </w:p>
          <w:p w:rsidR="00834754" w:rsidRPr="00784608" w:rsidRDefault="00834754" w:rsidP="00834754">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(Article 6.1.b GDPR)</w:t>
            </w:r>
          </w:p>
          <w:p w:rsidR="00150856" w:rsidRPr="00784608" w:rsidRDefault="00834754" w:rsidP="00834754">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color w:val="333333"/>
                <w:sz w:val="22"/>
                <w:szCs w:val="22"/>
                <w:lang w:val="en-GB" w:eastAsia="pl-PL"/>
              </w:rPr>
              <w:t xml:space="preserve">processing is necessary for </w:t>
            </w:r>
            <w:r w:rsidR="006A505B" w:rsidRPr="00784608">
              <w:rPr>
                <w:rFonts w:asciiTheme="minorHAnsi" w:eastAsia="Times New Roman" w:hAnsiTheme="minorHAnsi" w:cstheme="minorHAnsi"/>
                <w:color w:val="333333"/>
                <w:sz w:val="22"/>
                <w:szCs w:val="22"/>
                <w:lang w:val="en-GB" w:eastAsia="pl-PL"/>
              </w:rPr>
              <w:t xml:space="preserve">the </w:t>
            </w:r>
            <w:r w:rsidRPr="00784608">
              <w:rPr>
                <w:rFonts w:asciiTheme="minorHAnsi" w:eastAsia="Times New Roman" w:hAnsiTheme="minorHAnsi" w:cstheme="minorHAnsi"/>
                <w:color w:val="333333"/>
                <w:sz w:val="22"/>
                <w:szCs w:val="22"/>
                <w:lang w:val="en-GB" w:eastAsia="pl-PL"/>
              </w:rPr>
              <w:t>compliance with a legal obligation to which the controller is subject; (Art. 6.1.c GDPR)</w:t>
            </w:r>
          </w:p>
        </w:tc>
      </w:tr>
      <w:tr w:rsidR="00150856" w:rsidRPr="00784608" w:rsidTr="00384811">
        <w:tc>
          <w:tcPr>
            <w:tcW w:w="4531" w:type="dxa"/>
          </w:tcPr>
          <w:p w:rsidR="00150856" w:rsidRPr="00784608" w:rsidRDefault="00150856" w:rsidP="00384811">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Data processing on the basis of consent</w:t>
            </w:r>
          </w:p>
        </w:tc>
        <w:tc>
          <w:tcPr>
            <w:tcW w:w="4531" w:type="dxa"/>
          </w:tcPr>
          <w:p w:rsidR="00150856" w:rsidRPr="00784608" w:rsidRDefault="00150856" w:rsidP="00834754">
            <w:pPr>
              <w:contextualSpacing/>
              <w:jc w:val="both"/>
              <w:rPr>
                <w:rFonts w:asciiTheme="minorHAnsi" w:eastAsia="Times New Roman" w:hAnsiTheme="minorHAnsi" w:cstheme="minorHAnsi"/>
                <w:sz w:val="22"/>
                <w:szCs w:val="22"/>
                <w:lang w:val="en-GB" w:eastAsia="pl-PL"/>
              </w:rPr>
            </w:pPr>
            <w:r w:rsidRPr="00784608">
              <w:rPr>
                <w:rFonts w:asciiTheme="minorHAnsi" w:eastAsia="Times New Roman" w:hAnsiTheme="minorHAnsi" w:cstheme="minorHAnsi"/>
                <w:sz w:val="22"/>
                <w:szCs w:val="22"/>
                <w:lang w:val="en-GB" w:eastAsia="pl-PL"/>
              </w:rPr>
              <w:t xml:space="preserve">the condition legalizing the processing is </w:t>
            </w:r>
            <w:r w:rsidR="006A505B" w:rsidRPr="00784608">
              <w:rPr>
                <w:rFonts w:asciiTheme="minorHAnsi" w:eastAsia="Times New Roman" w:hAnsiTheme="minorHAnsi" w:cstheme="minorHAnsi"/>
                <w:sz w:val="22"/>
                <w:szCs w:val="22"/>
                <w:lang w:val="en-GB" w:eastAsia="pl-PL"/>
              </w:rPr>
              <w:t xml:space="preserve">the </w:t>
            </w:r>
            <w:r w:rsidRPr="00784608">
              <w:rPr>
                <w:rFonts w:asciiTheme="minorHAnsi" w:eastAsia="Times New Roman" w:hAnsiTheme="minorHAnsi" w:cstheme="minorHAnsi"/>
                <w:sz w:val="22"/>
                <w:szCs w:val="22"/>
                <w:lang w:val="en-GB" w:eastAsia="pl-PL"/>
              </w:rPr>
              <w:t>consent expressed through the act of participation in a public procurement procedure (Article 6</w:t>
            </w:r>
            <w:r w:rsidR="00834754" w:rsidRPr="00784608">
              <w:rPr>
                <w:rFonts w:asciiTheme="minorHAnsi" w:eastAsia="Times New Roman" w:hAnsiTheme="minorHAnsi" w:cstheme="minorHAnsi"/>
                <w:sz w:val="22"/>
                <w:szCs w:val="22"/>
                <w:lang w:val="en-GB" w:eastAsia="pl-PL"/>
              </w:rPr>
              <w:t>.</w:t>
            </w:r>
            <w:r w:rsidRPr="00784608">
              <w:rPr>
                <w:rFonts w:asciiTheme="minorHAnsi" w:eastAsia="Times New Roman" w:hAnsiTheme="minorHAnsi" w:cstheme="minorHAnsi"/>
                <w:sz w:val="22"/>
                <w:szCs w:val="22"/>
                <w:lang w:val="en-GB" w:eastAsia="pl-PL"/>
              </w:rPr>
              <w:t>1</w:t>
            </w:r>
            <w:r w:rsidR="00834754" w:rsidRPr="00784608">
              <w:rPr>
                <w:rFonts w:asciiTheme="minorHAnsi" w:eastAsia="Times New Roman" w:hAnsiTheme="minorHAnsi" w:cstheme="minorHAnsi"/>
                <w:sz w:val="22"/>
                <w:szCs w:val="22"/>
                <w:lang w:val="en-GB" w:eastAsia="pl-PL"/>
              </w:rPr>
              <w:t>.</w:t>
            </w:r>
            <w:r w:rsidRPr="00784608">
              <w:rPr>
                <w:rFonts w:asciiTheme="minorHAnsi" w:eastAsia="Times New Roman" w:hAnsiTheme="minorHAnsi" w:cstheme="minorHAnsi"/>
                <w:sz w:val="22"/>
                <w:szCs w:val="22"/>
                <w:lang w:val="en-GB" w:eastAsia="pl-PL"/>
              </w:rPr>
              <w:t xml:space="preserve">a </w:t>
            </w:r>
            <w:r w:rsidR="00834754" w:rsidRPr="00784608">
              <w:rPr>
                <w:rFonts w:asciiTheme="minorHAnsi" w:eastAsia="Times New Roman" w:hAnsiTheme="minorHAnsi" w:cstheme="minorHAnsi"/>
                <w:sz w:val="22"/>
                <w:szCs w:val="22"/>
                <w:lang w:val="en-GB" w:eastAsia="pl-PL"/>
              </w:rPr>
              <w:t>GDPR</w:t>
            </w:r>
            <w:r w:rsidRPr="00784608">
              <w:rPr>
                <w:rFonts w:asciiTheme="minorHAnsi" w:eastAsia="Times New Roman" w:hAnsiTheme="minorHAnsi" w:cstheme="minorHAnsi"/>
                <w:sz w:val="22"/>
                <w:szCs w:val="22"/>
                <w:lang w:val="en-GB" w:eastAsia="pl-PL"/>
              </w:rPr>
              <w:t>)</w:t>
            </w:r>
          </w:p>
        </w:tc>
      </w:tr>
    </w:tbl>
    <w:p w:rsidR="00150856" w:rsidRPr="00086E97" w:rsidRDefault="00150856" w:rsidP="00150856">
      <w:pPr>
        <w:rPr>
          <w:rFonts w:cstheme="minorHAnsi"/>
          <w:lang w:val="en-GB"/>
        </w:rPr>
      </w:pP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lastRenderedPageBreak/>
        <w:t>With regard to the processing of personal data for the purposes referred to in point 4, your personal data shall be provided to interested entities and persons, as in principle the public procurement procedure</w:t>
      </w:r>
      <w:r w:rsidR="00680D41" w:rsidRPr="00086E97">
        <w:rPr>
          <w:rFonts w:cstheme="minorHAnsi"/>
          <w:lang w:val="en-GB"/>
        </w:rPr>
        <w:t xml:space="preserve"> </w:t>
      </w:r>
      <w:r w:rsidRPr="00086E97">
        <w:rPr>
          <w:rFonts w:cstheme="minorHAnsi"/>
          <w:lang w:val="en-GB"/>
        </w:rPr>
        <w:t xml:space="preserve">is open to the public. Moreover, recipients of personal data may be other entities and persons who, on the basis of appropriate agreements signed with NCBJ, process personal data for which </w:t>
      </w:r>
      <w:r w:rsidR="00642460" w:rsidRPr="00086E97">
        <w:rPr>
          <w:rFonts w:cstheme="minorHAnsi"/>
          <w:lang w:val="en-GB"/>
        </w:rPr>
        <w:t xml:space="preserve">the Controller is </w:t>
      </w:r>
      <w:r w:rsidRPr="00086E97">
        <w:rPr>
          <w:rFonts w:cstheme="minorHAnsi"/>
          <w:lang w:val="en-GB"/>
        </w:rPr>
        <w:t xml:space="preserve">NCBJ. </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Your personal data will be stored pursuant to Article 78 of the Public Procurement Law, i.e. for a period of 4 years from the date of completion of the contract award procedure, and in the case of conclusion of a public procurement contract, which </w:t>
      </w:r>
      <w:r w:rsidR="00F81476" w:rsidRPr="00086E97">
        <w:rPr>
          <w:rFonts w:cstheme="minorHAnsi"/>
          <w:lang w:val="en-GB"/>
        </w:rPr>
        <w:t xml:space="preserve">duration </w:t>
      </w:r>
      <w:r w:rsidRPr="00086E97">
        <w:rPr>
          <w:rFonts w:cstheme="minorHAnsi"/>
          <w:lang w:val="en-GB"/>
        </w:rPr>
        <w:t>exceeds 4 years, the storage period shall be consistent with the duration of the contract and consistent with achieving the objectives set out in point 4 above.</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With regard to the processing of your personal data, you have the following rights: </w:t>
      </w:r>
    </w:p>
    <w:p w:rsidR="00150856" w:rsidRPr="00086E97" w:rsidRDefault="00150856" w:rsidP="00150856">
      <w:pPr>
        <w:spacing w:after="0" w:line="330" w:lineRule="atLeast"/>
        <w:ind w:left="601"/>
        <w:jc w:val="both"/>
        <w:textAlignment w:val="baseline"/>
        <w:rPr>
          <w:rFonts w:cstheme="minorHAnsi"/>
          <w:lang w:val="en-GB"/>
        </w:rPr>
      </w:pPr>
    </w:p>
    <w:p w:rsidR="00150856" w:rsidRPr="00086E97" w:rsidRDefault="00150856" w:rsidP="00150856">
      <w:pPr>
        <w:ind w:firstLine="601"/>
        <w:rPr>
          <w:rFonts w:cstheme="minorHAnsi"/>
          <w:lang w:val="en-GB"/>
        </w:rPr>
      </w:pPr>
      <w:r w:rsidRPr="00086E97">
        <w:rPr>
          <w:rFonts w:cstheme="minorHAnsi"/>
          <w:lang w:val="en-GB"/>
        </w:rPr>
        <w:t>1) Art</w:t>
      </w:r>
      <w:r w:rsidR="00680D41" w:rsidRPr="00086E97">
        <w:rPr>
          <w:rFonts w:cstheme="minorHAnsi"/>
          <w:lang w:val="en-GB"/>
        </w:rPr>
        <w:t xml:space="preserve">. </w:t>
      </w:r>
      <w:r w:rsidRPr="00086E97">
        <w:rPr>
          <w:rFonts w:cstheme="minorHAnsi"/>
          <w:lang w:val="en-GB"/>
        </w:rPr>
        <w:t xml:space="preserve">15 </w:t>
      </w:r>
      <w:r w:rsidR="001717A4" w:rsidRPr="00086E97">
        <w:rPr>
          <w:rFonts w:cstheme="minorHAnsi"/>
          <w:lang w:val="en-GB"/>
        </w:rPr>
        <w:t xml:space="preserve">GDPR </w:t>
      </w:r>
      <w:r w:rsidRPr="00086E97">
        <w:rPr>
          <w:rFonts w:cstheme="minorHAnsi"/>
          <w:lang w:val="en-GB"/>
        </w:rPr>
        <w:t xml:space="preserve">- the right to access personal data and to receive a copy of it, </w:t>
      </w:r>
    </w:p>
    <w:p w:rsidR="00150856" w:rsidRPr="00086E97" w:rsidRDefault="00150856" w:rsidP="00150856">
      <w:pPr>
        <w:ind w:left="601"/>
        <w:rPr>
          <w:rFonts w:cstheme="minorHAnsi"/>
          <w:lang w:val="en-GB"/>
        </w:rPr>
      </w:pPr>
      <w:r w:rsidRPr="00086E97">
        <w:rPr>
          <w:rFonts w:cstheme="minorHAnsi"/>
          <w:lang w:val="en-GB"/>
        </w:rPr>
        <w:t xml:space="preserve">2) Art. 16 </w:t>
      </w:r>
      <w:r w:rsidR="001717A4" w:rsidRPr="00086E97">
        <w:rPr>
          <w:rFonts w:cstheme="minorHAnsi"/>
          <w:lang w:val="en-GB"/>
        </w:rPr>
        <w:t xml:space="preserve">GDPR </w:t>
      </w:r>
      <w:r w:rsidRPr="00086E97">
        <w:rPr>
          <w:rFonts w:cstheme="minorHAnsi"/>
          <w:lang w:val="en-GB"/>
        </w:rPr>
        <w:t>- the right to request rectification or completion of personal data, however such a request may not result in changing the outcome of the public procurement procedure or the provisions of the public procurement agreement to the extent inconsistent with the Act (Art</w:t>
      </w:r>
      <w:r w:rsidR="00680D41" w:rsidRPr="00086E97">
        <w:rPr>
          <w:rFonts w:cstheme="minorHAnsi"/>
          <w:lang w:val="en-GB"/>
        </w:rPr>
        <w:t>.</w:t>
      </w:r>
      <w:r w:rsidRPr="00086E97">
        <w:rPr>
          <w:rFonts w:cstheme="minorHAnsi"/>
          <w:lang w:val="en-GB"/>
        </w:rPr>
        <w:t xml:space="preserve"> 19</w:t>
      </w:r>
      <w:r w:rsidR="00680D41" w:rsidRPr="00086E97">
        <w:rPr>
          <w:rFonts w:cstheme="minorHAnsi"/>
          <w:lang w:val="en-GB"/>
        </w:rPr>
        <w:t>.</w:t>
      </w:r>
      <w:r w:rsidRPr="00086E97">
        <w:rPr>
          <w:rFonts w:cstheme="minorHAnsi"/>
          <w:lang w:val="en-GB"/>
        </w:rPr>
        <w:t>2 of the Public Procurement Law).</w:t>
      </w:r>
    </w:p>
    <w:p w:rsidR="00150856" w:rsidRPr="00086E97" w:rsidRDefault="00150856" w:rsidP="00150856">
      <w:pPr>
        <w:ind w:left="601"/>
        <w:rPr>
          <w:rFonts w:cstheme="minorHAnsi"/>
          <w:lang w:val="en-GB"/>
        </w:rPr>
      </w:pPr>
      <w:r w:rsidRPr="00086E97">
        <w:rPr>
          <w:rFonts w:cstheme="minorHAnsi"/>
          <w:lang w:val="en-GB"/>
        </w:rPr>
        <w:t>3) Art</w:t>
      </w:r>
      <w:r w:rsidR="00680D41" w:rsidRPr="00086E97">
        <w:rPr>
          <w:rFonts w:cstheme="minorHAnsi"/>
          <w:lang w:val="en-GB"/>
        </w:rPr>
        <w:t xml:space="preserve">. </w:t>
      </w:r>
      <w:r w:rsidRPr="00086E97">
        <w:rPr>
          <w:rFonts w:cstheme="minorHAnsi"/>
          <w:lang w:val="en-GB"/>
        </w:rPr>
        <w:t xml:space="preserve">17 </w:t>
      </w:r>
      <w:r w:rsidR="001717A4" w:rsidRPr="00086E97">
        <w:rPr>
          <w:rFonts w:cstheme="minorHAnsi"/>
          <w:lang w:val="en-GB"/>
        </w:rPr>
        <w:t xml:space="preserve">GDPR </w:t>
      </w:r>
      <w:r w:rsidRPr="00086E97">
        <w:rPr>
          <w:rFonts w:cstheme="minorHAnsi"/>
          <w:lang w:val="en-GB"/>
        </w:rPr>
        <w:t xml:space="preserve">- the right to demand erasure of personal data (the so called </w:t>
      </w:r>
      <w:r w:rsidR="00E765EE" w:rsidRPr="00086E97">
        <w:rPr>
          <w:rFonts w:cstheme="minorHAnsi"/>
          <w:lang w:val="en-GB"/>
        </w:rPr>
        <w:t>‘</w:t>
      </w:r>
      <w:r w:rsidRPr="00086E97">
        <w:rPr>
          <w:rFonts w:cstheme="minorHAnsi"/>
          <w:lang w:val="en-GB"/>
        </w:rPr>
        <w:t>right to be forgotten</w:t>
      </w:r>
      <w:r w:rsidR="00E765EE" w:rsidRPr="00086E97">
        <w:rPr>
          <w:rFonts w:cstheme="minorHAnsi"/>
          <w:lang w:val="en-GB"/>
        </w:rPr>
        <w:t>’</w:t>
      </w:r>
      <w:r w:rsidRPr="00086E97">
        <w:rPr>
          <w:rFonts w:cstheme="minorHAnsi"/>
          <w:lang w:val="en-GB"/>
        </w:rPr>
        <w:t>), unless erasure of personal data is impossible pursuant to Art</w:t>
      </w:r>
      <w:r w:rsidR="00680D41" w:rsidRPr="00086E97">
        <w:rPr>
          <w:rFonts w:cstheme="minorHAnsi"/>
          <w:lang w:val="en-GB"/>
        </w:rPr>
        <w:t xml:space="preserve">. </w:t>
      </w:r>
      <w:r w:rsidRPr="00086E97">
        <w:rPr>
          <w:rFonts w:cstheme="minorHAnsi"/>
          <w:lang w:val="en-GB"/>
        </w:rPr>
        <w:t>17</w:t>
      </w:r>
      <w:r w:rsidR="00680D41" w:rsidRPr="00086E97">
        <w:rPr>
          <w:rFonts w:cstheme="minorHAnsi"/>
          <w:lang w:val="en-GB"/>
        </w:rPr>
        <w:t>.</w:t>
      </w:r>
      <w:r w:rsidRPr="00086E97">
        <w:rPr>
          <w:rFonts w:cstheme="minorHAnsi"/>
          <w:lang w:val="en-GB"/>
        </w:rPr>
        <w:t xml:space="preserve">3b), d) or e) of </w:t>
      </w:r>
      <w:r w:rsidR="00680D41" w:rsidRPr="00086E97">
        <w:rPr>
          <w:rFonts w:cstheme="minorHAnsi"/>
          <w:lang w:val="en-GB"/>
        </w:rPr>
        <w:t>GDPR</w:t>
      </w:r>
      <w:r w:rsidRPr="00086E97">
        <w:rPr>
          <w:rFonts w:cstheme="minorHAnsi"/>
          <w:lang w:val="en-GB"/>
        </w:rPr>
        <w:t>.</w:t>
      </w:r>
    </w:p>
    <w:p w:rsidR="00150856" w:rsidRPr="00086E97" w:rsidRDefault="00150856" w:rsidP="00150856">
      <w:pPr>
        <w:ind w:left="601"/>
        <w:rPr>
          <w:rFonts w:cstheme="minorHAnsi"/>
          <w:lang w:val="en-GB"/>
        </w:rPr>
      </w:pPr>
      <w:r w:rsidRPr="00086E97">
        <w:rPr>
          <w:rFonts w:cstheme="minorHAnsi"/>
          <w:lang w:val="en-GB"/>
        </w:rPr>
        <w:t>4) Art</w:t>
      </w:r>
      <w:r w:rsidR="001717A4" w:rsidRPr="00086E97">
        <w:rPr>
          <w:rFonts w:cstheme="minorHAnsi"/>
          <w:lang w:val="en-GB"/>
        </w:rPr>
        <w:t>.</w:t>
      </w:r>
      <w:r w:rsidRPr="00086E97">
        <w:rPr>
          <w:rFonts w:cstheme="minorHAnsi"/>
          <w:lang w:val="en-GB"/>
        </w:rPr>
        <w:t xml:space="preserve">18 </w:t>
      </w:r>
      <w:r w:rsidR="001717A4" w:rsidRPr="00086E97">
        <w:rPr>
          <w:rFonts w:cstheme="minorHAnsi"/>
          <w:lang w:val="en-GB"/>
        </w:rPr>
        <w:t xml:space="preserve">GDPR </w:t>
      </w:r>
      <w:r w:rsidRPr="00086E97">
        <w:rPr>
          <w:rFonts w:cstheme="minorHAnsi"/>
          <w:lang w:val="en-GB"/>
        </w:rPr>
        <w:t>- the right to request restriction of processing of personal data, unless the restriction of processing will not have the effect of limiting personal data until the end of these proceedings (Art</w:t>
      </w:r>
      <w:r w:rsidR="001717A4" w:rsidRPr="00086E97">
        <w:rPr>
          <w:rFonts w:cstheme="minorHAnsi"/>
          <w:lang w:val="en-GB"/>
        </w:rPr>
        <w:t xml:space="preserve">. </w:t>
      </w:r>
      <w:r w:rsidRPr="00086E97">
        <w:rPr>
          <w:rFonts w:cstheme="minorHAnsi"/>
          <w:lang w:val="en-GB"/>
        </w:rPr>
        <w:t>19</w:t>
      </w:r>
      <w:r w:rsidR="001717A4" w:rsidRPr="00086E97">
        <w:rPr>
          <w:rFonts w:cstheme="minorHAnsi"/>
          <w:lang w:val="en-GB"/>
        </w:rPr>
        <w:t>.</w:t>
      </w:r>
      <w:r w:rsidRPr="00086E97">
        <w:rPr>
          <w:rFonts w:cstheme="minorHAnsi"/>
          <w:lang w:val="en-GB"/>
        </w:rPr>
        <w:t>3 of the Public Procurement Law).</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If you become aware of unlawful processing of your personal data at NCBJ, you have the right to lodge a complaint to the supervisory authority responsible for personal data protection. </w:t>
      </w:r>
    </w:p>
    <w:p w:rsidR="00150856" w:rsidRPr="00086E97" w:rsidRDefault="00996C42"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Y</w:t>
      </w:r>
      <w:r w:rsidR="00150856" w:rsidRPr="00086E97">
        <w:rPr>
          <w:rFonts w:cstheme="minorHAnsi"/>
          <w:lang w:val="en-GB"/>
        </w:rPr>
        <w:t xml:space="preserve">our personal data will not be </w:t>
      </w:r>
      <w:r w:rsidRPr="00086E97">
        <w:rPr>
          <w:rFonts w:cstheme="minorHAnsi"/>
          <w:lang w:val="en-GB"/>
        </w:rPr>
        <w:t>subject to a decision</w:t>
      </w:r>
      <w:r w:rsidR="00E765EE" w:rsidRPr="00086E97">
        <w:rPr>
          <w:rFonts w:cstheme="minorHAnsi"/>
          <w:lang w:val="en-GB"/>
        </w:rPr>
        <w:t xml:space="preserve"> based</w:t>
      </w:r>
      <w:r w:rsidRPr="00086E97">
        <w:rPr>
          <w:rFonts w:cstheme="minorHAnsi"/>
          <w:lang w:val="en-GB"/>
        </w:rPr>
        <w:t xml:space="preserve"> solely on automated processing,</w:t>
      </w:r>
      <w:r w:rsidR="00150856" w:rsidRPr="00086E97">
        <w:rPr>
          <w:rFonts w:cstheme="minorHAnsi"/>
          <w:lang w:val="en-GB"/>
        </w:rPr>
        <w:t xml:space="preserve"> pursuant to Article 22 of </w:t>
      </w:r>
      <w:r w:rsidRPr="00086E97">
        <w:rPr>
          <w:rFonts w:cstheme="minorHAnsi"/>
          <w:lang w:val="en-GB"/>
        </w:rPr>
        <w:t>GDPR</w:t>
      </w:r>
      <w:r w:rsidR="00150856" w:rsidRPr="00086E97">
        <w:rPr>
          <w:rFonts w:cstheme="minorHAnsi"/>
          <w:lang w:val="en-GB"/>
        </w:rPr>
        <w:t>.</w:t>
      </w:r>
    </w:p>
    <w:p w:rsidR="00150856" w:rsidRPr="00086E97" w:rsidRDefault="00150856" w:rsidP="00150856">
      <w:pPr>
        <w:numPr>
          <w:ilvl w:val="0"/>
          <w:numId w:val="7"/>
        </w:numPr>
        <w:tabs>
          <w:tab w:val="clear" w:pos="720"/>
        </w:tabs>
        <w:spacing w:after="0" w:line="330" w:lineRule="atLeast"/>
        <w:ind w:left="601" w:hanging="601"/>
        <w:jc w:val="both"/>
        <w:textAlignment w:val="baseline"/>
        <w:rPr>
          <w:rFonts w:cstheme="minorHAnsi"/>
          <w:lang w:val="en-GB"/>
        </w:rPr>
      </w:pPr>
      <w:r w:rsidRPr="00086E97">
        <w:rPr>
          <w:rFonts w:cstheme="minorHAnsi"/>
          <w:lang w:val="en-GB"/>
        </w:rPr>
        <w:t xml:space="preserve">The above rights should be addressed to NCBJ in accordance with the </w:t>
      </w:r>
      <w:r w:rsidR="005B1031" w:rsidRPr="00086E97">
        <w:rPr>
          <w:rFonts w:cstheme="minorHAnsi"/>
          <w:lang w:val="en-GB"/>
        </w:rPr>
        <w:t>d</w:t>
      </w:r>
      <w:r w:rsidR="005B6B51">
        <w:rPr>
          <w:rFonts w:cstheme="minorHAnsi"/>
          <w:lang w:val="en-GB"/>
        </w:rPr>
        <w:t>etails</w:t>
      </w:r>
      <w:r w:rsidR="005B1031" w:rsidRPr="00086E97">
        <w:rPr>
          <w:rFonts w:cstheme="minorHAnsi"/>
          <w:lang w:val="en-GB"/>
        </w:rPr>
        <w:t xml:space="preserve"> </w:t>
      </w:r>
      <w:r w:rsidRPr="00086E97">
        <w:rPr>
          <w:rFonts w:cstheme="minorHAnsi"/>
          <w:lang w:val="en-GB"/>
        </w:rPr>
        <w:t xml:space="preserve">provided at the </w:t>
      </w:r>
      <w:r w:rsidR="005B1031" w:rsidRPr="00086E97">
        <w:rPr>
          <w:rFonts w:cstheme="minorHAnsi"/>
          <w:lang w:val="en-GB"/>
        </w:rPr>
        <w:t>beginning</w:t>
      </w:r>
      <w:r w:rsidRPr="00086E97">
        <w:rPr>
          <w:rFonts w:cstheme="minorHAnsi"/>
          <w:lang w:val="en-GB"/>
        </w:rPr>
        <w:t>. If NCBJ is unable to determine the content of the request or identify the person submitting the request on the basis of the notification made, NCBJ will ask the applicant for additional information. The request will be responded to promptly, but no later than one month after receipt. If it is necessary to extend the deadline, NCBJ will inform the applicant of the reasons for such extension. The answer will be given to the e-mail address from which the application was sent, and in case of applications sent by letter, by registered mail to the address indicated by the applicant, unless the content of the letter indicates the desire to receive feedback to the e-mail address (in this case the e-mail address should be provided).</w:t>
      </w:r>
    </w:p>
    <w:p w:rsidR="00150856" w:rsidRPr="00086E97" w:rsidRDefault="00150856" w:rsidP="00150856">
      <w:pPr>
        <w:rPr>
          <w:rFonts w:cstheme="minorHAnsi"/>
          <w:lang w:val="en-GB"/>
        </w:rPr>
      </w:pPr>
    </w:p>
    <w:p w:rsidR="00150856" w:rsidRPr="00086E97" w:rsidRDefault="00150856" w:rsidP="00150856">
      <w:pPr>
        <w:spacing w:after="0" w:line="330" w:lineRule="atLeast"/>
        <w:jc w:val="both"/>
        <w:textAlignment w:val="baseline"/>
        <w:rPr>
          <w:rFonts w:eastAsia="Times New Roman" w:cstheme="minorHAnsi"/>
          <w:color w:val="353535"/>
          <w:lang w:val="en-GB" w:eastAsia="pl-PL"/>
        </w:rPr>
      </w:pPr>
    </w:p>
    <w:sectPr w:rsidR="00150856" w:rsidRPr="00086E97" w:rsidSect="009D0CD7">
      <w:pgSz w:w="11906" w:h="16838"/>
      <w:pgMar w:top="13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39F" w:rsidRDefault="0008539F" w:rsidP="000B0582">
      <w:pPr>
        <w:spacing w:after="0" w:line="240" w:lineRule="auto"/>
      </w:pPr>
      <w:r>
        <w:separator/>
      </w:r>
    </w:p>
  </w:endnote>
  <w:endnote w:type="continuationSeparator" w:id="0">
    <w:p w:rsidR="0008539F" w:rsidRDefault="0008539F" w:rsidP="000B0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39F" w:rsidRDefault="0008539F" w:rsidP="000B0582">
      <w:pPr>
        <w:spacing w:after="0" w:line="240" w:lineRule="auto"/>
      </w:pPr>
      <w:r>
        <w:separator/>
      </w:r>
    </w:p>
  </w:footnote>
  <w:footnote w:type="continuationSeparator" w:id="0">
    <w:p w:rsidR="0008539F" w:rsidRDefault="0008539F" w:rsidP="000B0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67132"/>
    <w:multiLevelType w:val="multilevel"/>
    <w:tmpl w:val="CD6EAD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F11174"/>
    <w:multiLevelType w:val="multilevel"/>
    <w:tmpl w:val="A0B6DF2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EBE60AE"/>
    <w:multiLevelType w:val="multilevel"/>
    <w:tmpl w:val="8C7E67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600EC8"/>
    <w:multiLevelType w:val="hybridMultilevel"/>
    <w:tmpl w:val="72C0D372"/>
    <w:lvl w:ilvl="0" w:tplc="ED50CBBE">
      <w:start w:val="1"/>
      <w:numFmt w:val="decimal"/>
      <w:lvlText w:val="%1)"/>
      <w:lvlJc w:val="left"/>
      <w:pPr>
        <w:ind w:left="720" w:hanging="360"/>
      </w:pPr>
      <w:rPr>
        <w:rFonts w:ascii="Arial" w:eastAsia="Times New Roman" w:hAnsi="Arial" w:cs="Arial" w:hint="default"/>
      </w:rPr>
    </w:lvl>
    <w:lvl w:ilvl="1" w:tplc="ED50CBBE">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F777DE1"/>
    <w:multiLevelType w:val="multilevel"/>
    <w:tmpl w:val="8C7E67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796D06"/>
    <w:multiLevelType w:val="multilevel"/>
    <w:tmpl w:val="B65A2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D145BB"/>
    <w:multiLevelType w:val="multilevel"/>
    <w:tmpl w:val="DA163BC6"/>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7B29375C"/>
    <w:multiLevelType w:val="multilevel"/>
    <w:tmpl w:val="212E2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7"/>
  </w:num>
  <w:num w:numId="5">
    <w:abstractNumId w:val="1"/>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080"/>
    <w:rsid w:val="000052B6"/>
    <w:rsid w:val="00011F89"/>
    <w:rsid w:val="000674AD"/>
    <w:rsid w:val="00084080"/>
    <w:rsid w:val="00084B99"/>
    <w:rsid w:val="0008539F"/>
    <w:rsid w:val="00086E97"/>
    <w:rsid w:val="000B0582"/>
    <w:rsid w:val="000E20BC"/>
    <w:rsid w:val="000E6572"/>
    <w:rsid w:val="000F3DFA"/>
    <w:rsid w:val="000F5552"/>
    <w:rsid w:val="00100D5D"/>
    <w:rsid w:val="001016D6"/>
    <w:rsid w:val="00142A61"/>
    <w:rsid w:val="00150856"/>
    <w:rsid w:val="001624CA"/>
    <w:rsid w:val="001717A4"/>
    <w:rsid w:val="00193326"/>
    <w:rsid w:val="001969BC"/>
    <w:rsid w:val="001B4FBF"/>
    <w:rsid w:val="001D4F06"/>
    <w:rsid w:val="001D6FA1"/>
    <w:rsid w:val="001D7820"/>
    <w:rsid w:val="00236D5E"/>
    <w:rsid w:val="002D1900"/>
    <w:rsid w:val="002E3572"/>
    <w:rsid w:val="003743DF"/>
    <w:rsid w:val="003B03A2"/>
    <w:rsid w:val="00423415"/>
    <w:rsid w:val="00424F6D"/>
    <w:rsid w:val="004420F6"/>
    <w:rsid w:val="0046580A"/>
    <w:rsid w:val="004A1CA9"/>
    <w:rsid w:val="004B161E"/>
    <w:rsid w:val="004C1B4B"/>
    <w:rsid w:val="004C7C7F"/>
    <w:rsid w:val="00552135"/>
    <w:rsid w:val="005662E0"/>
    <w:rsid w:val="005737AC"/>
    <w:rsid w:val="005B1031"/>
    <w:rsid w:val="005B6B51"/>
    <w:rsid w:val="005E00D6"/>
    <w:rsid w:val="005F656D"/>
    <w:rsid w:val="00632AF0"/>
    <w:rsid w:val="00642460"/>
    <w:rsid w:val="006621CA"/>
    <w:rsid w:val="00680D41"/>
    <w:rsid w:val="006A505B"/>
    <w:rsid w:val="006D0C99"/>
    <w:rsid w:val="006D1E78"/>
    <w:rsid w:val="00745EE0"/>
    <w:rsid w:val="00751844"/>
    <w:rsid w:val="0075599B"/>
    <w:rsid w:val="00784608"/>
    <w:rsid w:val="007F3BC1"/>
    <w:rsid w:val="00825D3D"/>
    <w:rsid w:val="0082718A"/>
    <w:rsid w:val="00834754"/>
    <w:rsid w:val="00864D65"/>
    <w:rsid w:val="008F4EA4"/>
    <w:rsid w:val="00930003"/>
    <w:rsid w:val="00956369"/>
    <w:rsid w:val="00996C42"/>
    <w:rsid w:val="009D0CD7"/>
    <w:rsid w:val="009D124A"/>
    <w:rsid w:val="009D587B"/>
    <w:rsid w:val="009F2B8C"/>
    <w:rsid w:val="00A167FF"/>
    <w:rsid w:val="00A81686"/>
    <w:rsid w:val="00A82F03"/>
    <w:rsid w:val="00A86392"/>
    <w:rsid w:val="00A91146"/>
    <w:rsid w:val="00AC44EE"/>
    <w:rsid w:val="00AC7390"/>
    <w:rsid w:val="00B10F5A"/>
    <w:rsid w:val="00B31854"/>
    <w:rsid w:val="00B87CC6"/>
    <w:rsid w:val="00B92F7C"/>
    <w:rsid w:val="00B96966"/>
    <w:rsid w:val="00C06EA3"/>
    <w:rsid w:val="00D63621"/>
    <w:rsid w:val="00D67A03"/>
    <w:rsid w:val="00DC311C"/>
    <w:rsid w:val="00DC63EE"/>
    <w:rsid w:val="00E0795A"/>
    <w:rsid w:val="00E23F25"/>
    <w:rsid w:val="00E544B7"/>
    <w:rsid w:val="00E765EE"/>
    <w:rsid w:val="00EC477C"/>
    <w:rsid w:val="00EF1773"/>
    <w:rsid w:val="00EF3538"/>
    <w:rsid w:val="00F15851"/>
    <w:rsid w:val="00F81476"/>
    <w:rsid w:val="00F86487"/>
    <w:rsid w:val="00FF0E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40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4080"/>
    <w:pPr>
      <w:ind w:left="720"/>
      <w:contextualSpacing/>
    </w:pPr>
  </w:style>
  <w:style w:type="character" w:styleId="Odwoaniedokomentarza">
    <w:name w:val="annotation reference"/>
    <w:basedOn w:val="Domylnaczcionkaakapitu"/>
    <w:uiPriority w:val="99"/>
    <w:semiHidden/>
    <w:unhideWhenUsed/>
    <w:rsid w:val="00084080"/>
    <w:rPr>
      <w:sz w:val="16"/>
      <w:szCs w:val="16"/>
    </w:rPr>
  </w:style>
  <w:style w:type="table" w:styleId="Tabela-Siatka">
    <w:name w:val="Table Grid"/>
    <w:basedOn w:val="Standardowy"/>
    <w:uiPriority w:val="39"/>
    <w:rsid w:val="00C06EA3"/>
    <w:pPr>
      <w:spacing w:after="0" w:line="240" w:lineRule="auto"/>
    </w:pPr>
    <w:rPr>
      <w:rFonts w:asciiTheme="majorHAnsi" w:hAnsiTheme="majorHAnsi" w:cstheme="majorBidi"/>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64D65"/>
    <w:pPr>
      <w:spacing w:after="0" w:line="240" w:lineRule="auto"/>
    </w:pPr>
  </w:style>
  <w:style w:type="paragraph" w:styleId="Tekstkomentarza">
    <w:name w:val="annotation text"/>
    <w:basedOn w:val="Normalny"/>
    <w:link w:val="TekstkomentarzaZnak"/>
    <w:uiPriority w:val="99"/>
    <w:semiHidden/>
    <w:unhideWhenUsed/>
    <w:rsid w:val="00EF353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538"/>
    <w:rPr>
      <w:sz w:val="20"/>
      <w:szCs w:val="20"/>
    </w:rPr>
  </w:style>
  <w:style w:type="paragraph" w:styleId="Tematkomentarza">
    <w:name w:val="annotation subject"/>
    <w:basedOn w:val="Tekstkomentarza"/>
    <w:next w:val="Tekstkomentarza"/>
    <w:link w:val="TematkomentarzaZnak"/>
    <w:uiPriority w:val="99"/>
    <w:semiHidden/>
    <w:unhideWhenUsed/>
    <w:rsid w:val="00EF3538"/>
    <w:rPr>
      <w:b/>
      <w:bCs/>
    </w:rPr>
  </w:style>
  <w:style w:type="character" w:customStyle="1" w:styleId="TematkomentarzaZnak">
    <w:name w:val="Temat komentarza Znak"/>
    <w:basedOn w:val="TekstkomentarzaZnak"/>
    <w:link w:val="Tematkomentarza"/>
    <w:uiPriority w:val="99"/>
    <w:semiHidden/>
    <w:rsid w:val="00EF3538"/>
    <w:rPr>
      <w:b/>
      <w:bCs/>
      <w:sz w:val="20"/>
      <w:szCs w:val="20"/>
    </w:rPr>
  </w:style>
  <w:style w:type="paragraph" w:styleId="Tekstdymka">
    <w:name w:val="Balloon Text"/>
    <w:basedOn w:val="Normalny"/>
    <w:link w:val="TekstdymkaZnak"/>
    <w:uiPriority w:val="99"/>
    <w:semiHidden/>
    <w:unhideWhenUsed/>
    <w:rsid w:val="00EF35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F3538"/>
    <w:rPr>
      <w:rFonts w:ascii="Tahoma" w:hAnsi="Tahoma" w:cs="Tahoma"/>
      <w:sz w:val="16"/>
      <w:szCs w:val="16"/>
    </w:rPr>
  </w:style>
  <w:style w:type="paragraph" w:styleId="Nagwek">
    <w:name w:val="header"/>
    <w:basedOn w:val="Normalny"/>
    <w:link w:val="NagwekZnak"/>
    <w:uiPriority w:val="99"/>
    <w:unhideWhenUsed/>
    <w:rsid w:val="000B05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0582"/>
  </w:style>
  <w:style w:type="paragraph" w:styleId="Stopka">
    <w:name w:val="footer"/>
    <w:basedOn w:val="Normalny"/>
    <w:link w:val="StopkaZnak"/>
    <w:uiPriority w:val="99"/>
    <w:unhideWhenUsed/>
    <w:rsid w:val="000B05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0582"/>
  </w:style>
  <w:style w:type="character" w:customStyle="1" w:styleId="highlight">
    <w:name w:val="highlight"/>
    <w:basedOn w:val="Domylnaczcionkaakapitu"/>
    <w:rsid w:val="00D67A03"/>
  </w:style>
  <w:style w:type="character" w:styleId="Hipercze">
    <w:name w:val="Hyperlink"/>
    <w:basedOn w:val="Domylnaczcionkaakapitu"/>
    <w:uiPriority w:val="99"/>
    <w:semiHidden/>
    <w:unhideWhenUsed/>
    <w:rsid w:val="00AC7390"/>
    <w:rPr>
      <w:color w:val="0000FF"/>
      <w:u w:val="single"/>
    </w:rPr>
  </w:style>
  <w:style w:type="character" w:styleId="Uwydatnienie">
    <w:name w:val="Emphasis"/>
    <w:basedOn w:val="Domylnaczcionkaakapitu"/>
    <w:uiPriority w:val="20"/>
    <w:qFormat/>
    <w:rsid w:val="004A1C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408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4080"/>
    <w:pPr>
      <w:ind w:left="720"/>
      <w:contextualSpacing/>
    </w:pPr>
  </w:style>
  <w:style w:type="character" w:styleId="Odwoaniedokomentarza">
    <w:name w:val="annotation reference"/>
    <w:basedOn w:val="Domylnaczcionkaakapitu"/>
    <w:uiPriority w:val="99"/>
    <w:semiHidden/>
    <w:unhideWhenUsed/>
    <w:rsid w:val="00084080"/>
    <w:rPr>
      <w:sz w:val="16"/>
      <w:szCs w:val="16"/>
    </w:rPr>
  </w:style>
  <w:style w:type="table" w:styleId="Tabela-Siatka">
    <w:name w:val="Table Grid"/>
    <w:basedOn w:val="Standardowy"/>
    <w:uiPriority w:val="39"/>
    <w:rsid w:val="00C06EA3"/>
    <w:pPr>
      <w:spacing w:after="0" w:line="240" w:lineRule="auto"/>
    </w:pPr>
    <w:rPr>
      <w:rFonts w:asciiTheme="majorHAnsi" w:hAnsiTheme="majorHAnsi" w:cstheme="majorBidi"/>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64D65"/>
    <w:pPr>
      <w:spacing w:after="0" w:line="240" w:lineRule="auto"/>
    </w:pPr>
  </w:style>
  <w:style w:type="paragraph" w:styleId="Tekstkomentarza">
    <w:name w:val="annotation text"/>
    <w:basedOn w:val="Normalny"/>
    <w:link w:val="TekstkomentarzaZnak"/>
    <w:uiPriority w:val="99"/>
    <w:semiHidden/>
    <w:unhideWhenUsed/>
    <w:rsid w:val="00EF353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538"/>
    <w:rPr>
      <w:sz w:val="20"/>
      <w:szCs w:val="20"/>
    </w:rPr>
  </w:style>
  <w:style w:type="paragraph" w:styleId="Tematkomentarza">
    <w:name w:val="annotation subject"/>
    <w:basedOn w:val="Tekstkomentarza"/>
    <w:next w:val="Tekstkomentarza"/>
    <w:link w:val="TematkomentarzaZnak"/>
    <w:uiPriority w:val="99"/>
    <w:semiHidden/>
    <w:unhideWhenUsed/>
    <w:rsid w:val="00EF3538"/>
    <w:rPr>
      <w:b/>
      <w:bCs/>
    </w:rPr>
  </w:style>
  <w:style w:type="character" w:customStyle="1" w:styleId="TematkomentarzaZnak">
    <w:name w:val="Temat komentarza Znak"/>
    <w:basedOn w:val="TekstkomentarzaZnak"/>
    <w:link w:val="Tematkomentarza"/>
    <w:uiPriority w:val="99"/>
    <w:semiHidden/>
    <w:rsid w:val="00EF3538"/>
    <w:rPr>
      <w:b/>
      <w:bCs/>
      <w:sz w:val="20"/>
      <w:szCs w:val="20"/>
    </w:rPr>
  </w:style>
  <w:style w:type="paragraph" w:styleId="Tekstdymka">
    <w:name w:val="Balloon Text"/>
    <w:basedOn w:val="Normalny"/>
    <w:link w:val="TekstdymkaZnak"/>
    <w:uiPriority w:val="99"/>
    <w:semiHidden/>
    <w:unhideWhenUsed/>
    <w:rsid w:val="00EF35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F3538"/>
    <w:rPr>
      <w:rFonts w:ascii="Tahoma" w:hAnsi="Tahoma" w:cs="Tahoma"/>
      <w:sz w:val="16"/>
      <w:szCs w:val="16"/>
    </w:rPr>
  </w:style>
  <w:style w:type="paragraph" w:styleId="Nagwek">
    <w:name w:val="header"/>
    <w:basedOn w:val="Normalny"/>
    <w:link w:val="NagwekZnak"/>
    <w:uiPriority w:val="99"/>
    <w:unhideWhenUsed/>
    <w:rsid w:val="000B05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0582"/>
  </w:style>
  <w:style w:type="paragraph" w:styleId="Stopka">
    <w:name w:val="footer"/>
    <w:basedOn w:val="Normalny"/>
    <w:link w:val="StopkaZnak"/>
    <w:uiPriority w:val="99"/>
    <w:unhideWhenUsed/>
    <w:rsid w:val="000B05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0582"/>
  </w:style>
  <w:style w:type="character" w:customStyle="1" w:styleId="highlight">
    <w:name w:val="highlight"/>
    <w:basedOn w:val="Domylnaczcionkaakapitu"/>
    <w:rsid w:val="00D67A03"/>
  </w:style>
  <w:style w:type="character" w:styleId="Hipercze">
    <w:name w:val="Hyperlink"/>
    <w:basedOn w:val="Domylnaczcionkaakapitu"/>
    <w:uiPriority w:val="99"/>
    <w:semiHidden/>
    <w:unhideWhenUsed/>
    <w:rsid w:val="00AC7390"/>
    <w:rPr>
      <w:color w:val="0000FF"/>
      <w:u w:val="single"/>
    </w:rPr>
  </w:style>
  <w:style w:type="character" w:styleId="Uwydatnienie">
    <w:name w:val="Emphasis"/>
    <w:basedOn w:val="Domylnaczcionkaakapitu"/>
    <w:uiPriority w:val="20"/>
    <w:qFormat/>
    <w:rsid w:val="004A1C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761993">
      <w:bodyDiv w:val="1"/>
      <w:marLeft w:val="0"/>
      <w:marRight w:val="0"/>
      <w:marTop w:val="0"/>
      <w:marBottom w:val="0"/>
      <w:divBdr>
        <w:top w:val="none" w:sz="0" w:space="0" w:color="auto"/>
        <w:left w:val="none" w:sz="0" w:space="0" w:color="auto"/>
        <w:bottom w:val="none" w:sz="0" w:space="0" w:color="auto"/>
        <w:right w:val="none" w:sz="0" w:space="0" w:color="auto"/>
      </w:divBdr>
    </w:div>
    <w:div w:id="1911193147">
      <w:bodyDiv w:val="1"/>
      <w:marLeft w:val="0"/>
      <w:marRight w:val="0"/>
      <w:marTop w:val="0"/>
      <w:marBottom w:val="0"/>
      <w:divBdr>
        <w:top w:val="none" w:sz="0" w:space="0" w:color="auto"/>
        <w:left w:val="none" w:sz="0" w:space="0" w:color="auto"/>
        <w:bottom w:val="none" w:sz="0" w:space="0" w:color="auto"/>
        <w:right w:val="none" w:sz="0" w:space="0" w:color="auto"/>
      </w:divBdr>
      <w:divsChild>
        <w:div w:id="1644196804">
          <w:marLeft w:val="0"/>
          <w:marRight w:val="0"/>
          <w:marTop w:val="0"/>
          <w:marBottom w:val="0"/>
          <w:divBdr>
            <w:top w:val="none" w:sz="0" w:space="0" w:color="auto"/>
            <w:left w:val="none" w:sz="0" w:space="0" w:color="auto"/>
            <w:bottom w:val="none" w:sz="0" w:space="0" w:color="auto"/>
            <w:right w:val="none" w:sz="0" w:space="0" w:color="auto"/>
          </w:divBdr>
        </w:div>
        <w:div w:id="1617517782">
          <w:marLeft w:val="0"/>
          <w:marRight w:val="0"/>
          <w:marTop w:val="0"/>
          <w:marBottom w:val="0"/>
          <w:divBdr>
            <w:top w:val="none" w:sz="0" w:space="0" w:color="auto"/>
            <w:left w:val="none" w:sz="0" w:space="0" w:color="auto"/>
            <w:bottom w:val="none" w:sz="0" w:space="0" w:color="auto"/>
            <w:right w:val="none" w:sz="0" w:space="0" w:color="auto"/>
          </w:divBdr>
        </w:div>
        <w:div w:id="500243012">
          <w:marLeft w:val="0"/>
          <w:marRight w:val="0"/>
          <w:marTop w:val="0"/>
          <w:marBottom w:val="0"/>
          <w:divBdr>
            <w:top w:val="none" w:sz="0" w:space="0" w:color="auto"/>
            <w:left w:val="none" w:sz="0" w:space="0" w:color="auto"/>
            <w:bottom w:val="none" w:sz="0" w:space="0" w:color="auto"/>
            <w:right w:val="none" w:sz="0" w:space="0" w:color="auto"/>
          </w:divBdr>
        </w:div>
        <w:div w:id="537470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ncbj.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736</Words>
  <Characters>4419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NCBJ</dc:creator>
  <cp:lastModifiedBy>Radomska Małgorzata</cp:lastModifiedBy>
  <cp:revision>3</cp:revision>
  <dcterms:created xsi:type="dcterms:W3CDTF">2021-03-09T13:51:00Z</dcterms:created>
  <dcterms:modified xsi:type="dcterms:W3CDTF">2021-03-11T10:28:00Z</dcterms:modified>
</cp:coreProperties>
</file>