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8EF1" w14:textId="6FCCC17A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5F3A33">
        <w:rPr>
          <w:rFonts w:ascii="Calibri Light" w:hAnsi="Calibri Light" w:cs="Calibri"/>
          <w:sz w:val="20"/>
          <w:szCs w:val="20"/>
        </w:rPr>
        <w:t>4</w:t>
      </w:r>
      <w:r w:rsidR="00AC045E">
        <w:rPr>
          <w:rFonts w:ascii="Calibri Light" w:hAnsi="Calibri Light" w:cs="Calibri"/>
          <w:sz w:val="20"/>
          <w:szCs w:val="20"/>
        </w:rPr>
        <w:t>2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>024.DB</w:t>
      </w:r>
    </w:p>
    <w:p w14:paraId="491529A8" w14:textId="6F7778AE" w:rsidR="001D5F44" w:rsidRDefault="00B4635F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B4635F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</w:t>
      </w:r>
      <w:proofErr w:type="gramStart"/>
      <w:r>
        <w:rPr>
          <w:rFonts w:ascii="Georgia" w:hAnsi="Georgia"/>
          <w:b/>
          <w:sz w:val="32"/>
          <w:szCs w:val="32"/>
          <w:shd w:val="clear" w:color="auto" w:fill="FFFFFF"/>
        </w:rPr>
        <w:t>…….</w:t>
      </w:r>
      <w:proofErr w:type="gramEnd"/>
      <w:r>
        <w:rPr>
          <w:rFonts w:ascii="Georgia" w:hAnsi="Georgia"/>
          <w:b/>
          <w:sz w:val="32"/>
          <w:szCs w:val="32"/>
          <w:shd w:val="clear" w:color="auto" w:fill="FFFFFF"/>
        </w:rPr>
        <w:t>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B4635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</w:t>
      </w:r>
      <w:proofErr w:type="gramStart"/>
      <w:r>
        <w:rPr>
          <w:rStyle w:val="Wyrnienie"/>
          <w:shd w:val="clear" w:color="auto" w:fill="FFFFFF"/>
        </w:rPr>
        <w:t>…….</w:t>
      </w:r>
      <w:proofErr w:type="gramEnd"/>
      <w:r>
        <w:rPr>
          <w:rStyle w:val="Wyrnienie"/>
          <w:shd w:val="clear" w:color="auto" w:fill="FFFFFF"/>
        </w:rPr>
        <w:t>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proofErr w:type="gramStart"/>
      <w:r>
        <w:rPr>
          <w:rFonts w:asciiTheme="minorHAnsi" w:hAnsiTheme="minorHAnsi"/>
          <w:shd w:val="clear" w:color="auto" w:fill="FFFFFF"/>
        </w:rPr>
        <w:t>NIP: ….</w:t>
      </w:r>
      <w:proofErr w:type="gramEnd"/>
      <w:r>
        <w:rPr>
          <w:rFonts w:asciiTheme="minorHAnsi" w:hAnsiTheme="minorHAnsi"/>
          <w:shd w:val="clear" w:color="auto" w:fill="FFFFFF"/>
        </w:rPr>
        <w:t xml:space="preserve">……..……….………………….……………………… </w:t>
      </w:r>
      <w:proofErr w:type="gramStart"/>
      <w:r>
        <w:rPr>
          <w:rFonts w:asciiTheme="minorHAnsi" w:hAnsiTheme="minorHAnsi"/>
          <w:shd w:val="clear" w:color="auto" w:fill="FFFFFF"/>
        </w:rPr>
        <w:t>REGON: ….</w:t>
      </w:r>
      <w:proofErr w:type="gramEnd"/>
      <w:r>
        <w:rPr>
          <w:rFonts w:asciiTheme="minorHAnsi" w:hAnsiTheme="minorHAnsi"/>
          <w:shd w:val="clear" w:color="auto" w:fill="FFFFFF"/>
        </w:rPr>
        <w:t>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08695A4B" w:rsidR="001D5F44" w:rsidRPr="00E25726" w:rsidRDefault="00B4635F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5F3A33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="00AC045E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2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>
        <w:rPr>
          <w:rFonts w:asciiTheme="minorHAnsi" w:hAnsiTheme="minorHAnsi" w:cstheme="minorHAnsi"/>
          <w:shd w:val="clear" w:color="auto" w:fill="FFFFFF"/>
        </w:rPr>
        <w:t>4 poz. 1320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BF" w14:textId="77777777" w:rsidR="001D5F44" w:rsidRPr="00E25726" w:rsidRDefault="001D5F4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0" w14:textId="77777777" w:rsidR="001D5F44" w:rsidRPr="00E25726" w:rsidRDefault="00B4635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3630A765" w:rsidR="001D5F44" w:rsidRPr="00E25726" w:rsidRDefault="00B4635F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AC045E">
        <w:rPr>
          <w:rFonts w:cs="Calibri"/>
          <w:b/>
        </w:rPr>
        <w:t>drzwi</w:t>
      </w:r>
      <w:r w:rsidR="000058B9"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 Żytkowicach, Brzustów 62, 26-930 Garbatka-Letnisko.</w:t>
      </w:r>
    </w:p>
    <w:p w14:paraId="491529C2" w14:textId="77777777" w:rsidR="001D5F44" w:rsidRPr="00E25726" w:rsidRDefault="001D5F4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3" w14:textId="77777777" w:rsidR="001D5F44" w:rsidRPr="00E25726" w:rsidRDefault="00B4635F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B4635F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29"/>
        <w:gridCol w:w="1078"/>
        <w:gridCol w:w="1238"/>
        <w:gridCol w:w="2439"/>
      </w:tblGrid>
      <w:tr w:rsidR="001D5F44" w14:paraId="491529CB" w14:textId="77777777" w:rsidTr="004478E5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4478E5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B4635F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834CCC" w14:paraId="491529D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B7D3CF6" w:rsidR="00834CCC" w:rsidRDefault="00834CCC" w:rsidP="00834CCC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322F" w14:textId="77777777" w:rsidR="00834CCC" w:rsidRPr="00C10800" w:rsidRDefault="00834CCC" w:rsidP="00834CCC">
            <w:pPr>
              <w:pStyle w:val="NormalnyWeb"/>
              <w:shd w:val="clear" w:color="auto" w:fill="FFFFFF"/>
              <w:spacing w:beforeAutospacing="0" w:after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Drzwi zewnętrzne z blachy stalowej z czterostronną przylgą prawe:</w:t>
            </w:r>
          </w:p>
          <w:p w14:paraId="5D072B16" w14:textId="77777777" w:rsidR="00834CCC" w:rsidRPr="00651C5C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Strona drzwi: prawa,</w:t>
            </w:r>
          </w:p>
          <w:p w14:paraId="770CC820" w14:textId="77777777" w:rsidR="00834CCC" w:rsidRPr="001D5FE8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Grubość skrzydła: 55 mm,</w:t>
            </w:r>
          </w:p>
          <w:p w14:paraId="40666B5C" w14:textId="77777777" w:rsidR="00834CCC" w:rsidRPr="001D5FE8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Wypełnienie drzwi: piana poliuretanowa</w:t>
            </w:r>
          </w:p>
          <w:p w14:paraId="34318C74" w14:textId="77777777" w:rsidR="00834CCC" w:rsidRPr="006A5FF1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Kierunek otwierania: na zewnątrz,</w:t>
            </w:r>
          </w:p>
          <w:p w14:paraId="6BE6046C" w14:textId="77777777" w:rsidR="00834CCC" w:rsidRPr="006A5FF1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Kolor drzwi: orzech ciemny,</w:t>
            </w:r>
          </w:p>
          <w:p w14:paraId="72448B9B" w14:textId="77777777" w:rsidR="00834CCC" w:rsidRPr="006466EF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Rodzaj zamka: dwa zamki </w:t>
            </w:r>
            <w:proofErr w:type="spellStart"/>
            <w:r>
              <w:rPr>
                <w:rFonts w:ascii="Calibri" w:hAnsi="Calibri" w:cs="Calibri"/>
                <w:color w:val="111111"/>
                <w:sz w:val="22"/>
                <w:szCs w:val="22"/>
              </w:rPr>
              <w:t>trzybolcowe</w:t>
            </w:r>
            <w:proofErr w:type="spellEnd"/>
            <w:r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4AACBA8F" w14:textId="77777777" w:rsidR="00834CCC" w:rsidRPr="006466EF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Rodzaj ościeżnicy: z blachy stalowej z wypełnieniem drewnianym,</w:t>
            </w:r>
          </w:p>
          <w:p w14:paraId="5F7DE686" w14:textId="77777777" w:rsidR="00834CCC" w:rsidRPr="00143DE8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Rozmiar drzwi: wysokość 2016 mm, szerokość 1011 mm,</w:t>
            </w:r>
          </w:p>
          <w:p w14:paraId="7C019611" w14:textId="77777777" w:rsidR="00834CCC" w:rsidRPr="00853FAC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Próg aluminiowy</w:t>
            </w:r>
          </w:p>
          <w:p w14:paraId="63E6FFE3" w14:textId="77777777" w:rsidR="00834CCC" w:rsidRPr="00C25E93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W zestawie: klamka </w:t>
            </w:r>
            <w:proofErr w:type="spellStart"/>
            <w:r>
              <w:rPr>
                <w:rFonts w:ascii="Calibri" w:hAnsi="Calibri" w:cs="Calibri"/>
                <w:color w:val="111111"/>
                <w:sz w:val="22"/>
                <w:szCs w:val="22"/>
              </w:rPr>
              <w:t>Inox</w:t>
            </w:r>
            <w:proofErr w:type="spellEnd"/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– rozstaw 72 mm, wkładka 30/50+30g/50 – nikiel zewnętrzna, osłona na zawiasy 3D </w:t>
            </w:r>
            <w:proofErr w:type="spellStart"/>
            <w:r>
              <w:rPr>
                <w:rFonts w:ascii="Calibri" w:hAnsi="Calibri" w:cs="Calibri"/>
                <w:color w:val="111111"/>
                <w:sz w:val="22"/>
                <w:szCs w:val="22"/>
              </w:rPr>
              <w:t>inox</w:t>
            </w:r>
            <w:proofErr w:type="spellEnd"/>
            <w:r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2FF38F18" w14:textId="77777777" w:rsidR="00834CCC" w:rsidRPr="0089579D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Światło przejścia: 1941 mm,</w:t>
            </w:r>
          </w:p>
          <w:p w14:paraId="2DC54737" w14:textId="77777777" w:rsidR="00834CCC" w:rsidRPr="0089579D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Wysokość klamka: 1150 mm,</w:t>
            </w:r>
          </w:p>
          <w:p w14:paraId="1A1881F9" w14:textId="77777777" w:rsidR="00834CCC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Wysokość skrzydła: 1978 mm,</w:t>
            </w:r>
          </w:p>
          <w:p w14:paraId="491529D3" w14:textId="31BC265D" w:rsidR="00834CCC" w:rsidRPr="00834CCC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 w:rsidRPr="00834CCC">
              <w:rPr>
                <w:rFonts w:ascii="Calibri" w:hAnsi="Calibri" w:cs="Calibri"/>
                <w:color w:val="111111"/>
                <w:sz w:val="22"/>
                <w:szCs w:val="22"/>
              </w:rPr>
              <w:t>Wysokość ościeżnicy: 2016 mm.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23820D46" w:rsidR="00834CCC" w:rsidRDefault="00834CCC" w:rsidP="00834CCC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1 </w:t>
            </w:r>
            <w:r w:rsidRPr="005D14D1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834CCC" w:rsidRDefault="00834CCC" w:rsidP="00834CCC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77777777" w:rsidR="00834CCC" w:rsidRDefault="00834CCC" w:rsidP="00834CCC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834CCC" w14:paraId="47C3DBAA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8C8B" w14:textId="3FCEE3DF" w:rsidR="00834CCC" w:rsidRPr="00FC1BA3" w:rsidRDefault="00834CCC" w:rsidP="00834CCC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0900" w14:textId="77777777" w:rsidR="00834CCC" w:rsidRPr="00C10800" w:rsidRDefault="00834CCC" w:rsidP="00834CCC">
            <w:pPr>
              <w:pStyle w:val="NormalnyWeb"/>
              <w:shd w:val="clear" w:color="auto" w:fill="FFFFFF"/>
              <w:spacing w:beforeAutospacing="0" w:after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Drzwi zewnętrzne z blachy stalowej z czterostronną przylgą lewe:</w:t>
            </w:r>
          </w:p>
          <w:p w14:paraId="001A2549" w14:textId="77777777" w:rsidR="00834CCC" w:rsidRPr="00651C5C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Strona drzwi: lewa,</w:t>
            </w:r>
          </w:p>
          <w:p w14:paraId="061524A9" w14:textId="77777777" w:rsidR="00834CCC" w:rsidRPr="001D5FE8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Grubość skrzydła: 55 mm,</w:t>
            </w:r>
          </w:p>
          <w:p w14:paraId="742C1147" w14:textId="77777777" w:rsidR="00834CCC" w:rsidRPr="001D5FE8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Wypełnienie drzwi: piana poliuretanowa</w:t>
            </w:r>
          </w:p>
          <w:p w14:paraId="599FCD9C" w14:textId="77777777" w:rsidR="00834CCC" w:rsidRPr="006A5FF1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Kierunek otwierania: na zewnątrz,</w:t>
            </w:r>
          </w:p>
          <w:p w14:paraId="629FB442" w14:textId="77777777" w:rsidR="00834CCC" w:rsidRPr="006A5FF1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Kolor drzwi: orzech ciemny,</w:t>
            </w:r>
          </w:p>
          <w:p w14:paraId="23D338F8" w14:textId="77777777" w:rsidR="00834CCC" w:rsidRPr="006466EF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Rodzaj zamka: dwa zamki </w:t>
            </w:r>
            <w:proofErr w:type="spellStart"/>
            <w:r>
              <w:rPr>
                <w:rFonts w:ascii="Calibri" w:hAnsi="Calibri" w:cs="Calibri"/>
                <w:color w:val="111111"/>
                <w:sz w:val="22"/>
                <w:szCs w:val="22"/>
              </w:rPr>
              <w:t>trzybolcowe</w:t>
            </w:r>
            <w:proofErr w:type="spellEnd"/>
            <w:r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793D58A2" w14:textId="77777777" w:rsidR="00834CCC" w:rsidRPr="006466EF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Rodzaj ościeżnicy: z blachy stalowej z wypełnieniem drewnianym,</w:t>
            </w:r>
          </w:p>
          <w:p w14:paraId="417E3730" w14:textId="77777777" w:rsidR="00834CCC" w:rsidRPr="00143DE8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Rozmiar drzwi: wysokość 2016 mm, szerokość 1011 mm,</w:t>
            </w:r>
          </w:p>
          <w:p w14:paraId="2217FB7D" w14:textId="77777777" w:rsidR="00834CCC" w:rsidRPr="00143DE8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Arial" w:hAnsi="Arial" w:cs="Arial"/>
                <w:color w:val="111111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Próg aluminiowy</w:t>
            </w:r>
          </w:p>
          <w:p w14:paraId="0D17B617" w14:textId="77777777" w:rsidR="00834CCC" w:rsidRPr="00914A96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Arial" w:hAnsi="Arial" w:cs="Arial"/>
                <w:color w:val="111111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lastRenderedPageBreak/>
              <w:t xml:space="preserve">W zestawie: klamka </w:t>
            </w:r>
            <w:proofErr w:type="spellStart"/>
            <w:r>
              <w:rPr>
                <w:rFonts w:ascii="Calibri" w:hAnsi="Calibri" w:cs="Calibri"/>
                <w:color w:val="111111"/>
                <w:sz w:val="22"/>
                <w:szCs w:val="22"/>
              </w:rPr>
              <w:t>Inox</w:t>
            </w:r>
            <w:proofErr w:type="spellEnd"/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– rozstaw 72 mm, wkładka 30/50+30g/50 – nikiel zewnętrzna, osłona na zawiasy 3D </w:t>
            </w:r>
            <w:proofErr w:type="spellStart"/>
            <w:r>
              <w:rPr>
                <w:rFonts w:ascii="Calibri" w:hAnsi="Calibri" w:cs="Calibri"/>
                <w:color w:val="111111"/>
                <w:sz w:val="22"/>
                <w:szCs w:val="22"/>
              </w:rPr>
              <w:t>inox</w:t>
            </w:r>
            <w:proofErr w:type="spellEnd"/>
            <w:r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61B1555D" w14:textId="77777777" w:rsidR="00834CCC" w:rsidRPr="0089579D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Światło przejścia: 1941 mm,</w:t>
            </w:r>
          </w:p>
          <w:p w14:paraId="6B24B5C9" w14:textId="77777777" w:rsidR="00834CCC" w:rsidRPr="0089579D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Wysokość klamka: 1150 mm,</w:t>
            </w:r>
          </w:p>
          <w:p w14:paraId="042C9151" w14:textId="77777777" w:rsidR="00834CCC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Wysokość skrzydła: 1978 mm,</w:t>
            </w:r>
          </w:p>
          <w:p w14:paraId="133F7150" w14:textId="354A730D" w:rsidR="00834CCC" w:rsidRPr="00834CCC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 w:rsidRPr="00834CCC">
              <w:rPr>
                <w:rFonts w:ascii="Calibri" w:hAnsi="Calibri" w:cs="Calibri"/>
                <w:color w:val="111111"/>
                <w:sz w:val="22"/>
                <w:szCs w:val="22"/>
              </w:rPr>
              <w:t>Wysokość ościeżnicy: 2016 mm.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AC21D" w14:textId="207F1EE3" w:rsidR="00834CCC" w:rsidRDefault="00834CCC" w:rsidP="00834CCC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1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80EA" w14:textId="77777777" w:rsidR="00834CCC" w:rsidRDefault="00834CCC" w:rsidP="00834CCC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7B8F" w14:textId="77777777" w:rsidR="00834CCC" w:rsidRDefault="00834CCC" w:rsidP="00834CCC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834CCC" w14:paraId="68BF7A0A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65CB" w14:textId="68FAEBC9" w:rsidR="00834CCC" w:rsidRDefault="00834CCC" w:rsidP="00834CCC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09F10" w14:textId="77777777" w:rsidR="00834CCC" w:rsidRDefault="00834CCC" w:rsidP="00834CCC">
            <w:pPr>
              <w:pStyle w:val="NormalnyWeb"/>
              <w:shd w:val="clear" w:color="auto" w:fill="FFFFFF"/>
              <w:spacing w:beforeAutospacing="0" w:after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Drzwi zewnętrzne aluminiowe z przeszkleniem 1370 mm x 2040 mm:</w:t>
            </w:r>
          </w:p>
          <w:p w14:paraId="29731649" w14:textId="77777777" w:rsidR="00834CCC" w:rsidRPr="002C6EA0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Kolor: RAL9016-MAT,</w:t>
            </w:r>
          </w:p>
          <w:p w14:paraId="3F2AB075" w14:textId="77777777" w:rsidR="00834CCC" w:rsidRPr="002C6EA0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Profil ciepły 75 mm,</w:t>
            </w:r>
          </w:p>
          <w:p w14:paraId="63C04C59" w14:textId="77777777" w:rsidR="00834CCC" w:rsidRPr="00D22AED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Drzwi otwierane na zewnątrz, prawe,</w:t>
            </w:r>
          </w:p>
          <w:p w14:paraId="633DD5FC" w14:textId="77777777" w:rsidR="00834CCC" w:rsidRPr="00826B44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Próg aluminiowy,</w:t>
            </w:r>
          </w:p>
          <w:p w14:paraId="564714B7" w14:textId="77777777" w:rsidR="00834CCC" w:rsidRPr="00B2628F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W zestawie klamka w kolorze drzwi, samozamykacz, 3 zawiasy 2 skrzydełkowe, </w:t>
            </w:r>
          </w:p>
          <w:p w14:paraId="65EE90C8" w14:textId="77777777" w:rsidR="00834CCC" w:rsidRPr="00834CCC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Drzwi dzielone 314 mm – lewe skrzydło od krawędzi ościeżnicy, 1056 mm – prawe skrzydło od krawędzi ościeżnicy,</w:t>
            </w:r>
          </w:p>
          <w:p w14:paraId="1322E0A2" w14:textId="0EAEE0B1" w:rsidR="00834CCC" w:rsidRPr="00834CCC" w:rsidRDefault="00834CCC" w:rsidP="00834CCC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 w:rsidRPr="00834CCC">
              <w:rPr>
                <w:rFonts w:ascii="Calibri" w:hAnsi="Calibri" w:cs="Calibri"/>
                <w:color w:val="111111"/>
                <w:sz w:val="22"/>
                <w:szCs w:val="22"/>
              </w:rPr>
              <w:t>Przeszklenie odpowiednio prawa strona 124 x 992 mm, lewa strona 866 x 992 mm. (33.1/18ATGI/4LE/18ATGI/33.1LE)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0700F" w14:textId="22BBE809" w:rsidR="00834CCC" w:rsidRDefault="00834CCC" w:rsidP="00834CCC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B4AE" w14:textId="77777777" w:rsidR="00834CCC" w:rsidRDefault="00834CCC" w:rsidP="00834CCC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7120" w14:textId="77777777" w:rsidR="00834CCC" w:rsidRDefault="00834CCC" w:rsidP="00834CCC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91529D8" w14:textId="5D34056E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 …………</w:t>
      </w:r>
      <w:proofErr w:type="gramStart"/>
      <w:r w:rsidRPr="00AE7D30">
        <w:rPr>
          <w:rFonts w:asciiTheme="minorHAnsi" w:hAnsiTheme="minorHAnsi" w:cstheme="minorHAnsi"/>
          <w:shd w:val="clear" w:color="auto" w:fill="FFFFFF"/>
        </w:rPr>
        <w:t>…….</w:t>
      </w:r>
      <w:proofErr w:type="gramEnd"/>
      <w:r w:rsidRPr="00AE7D30">
        <w:rPr>
          <w:rFonts w:asciiTheme="minorHAnsi" w:hAnsiTheme="minorHAnsi" w:cstheme="minorHAnsi"/>
          <w:shd w:val="clear" w:color="auto" w:fill="FFFFFF"/>
        </w:rPr>
        <w:t>……. zł (słownie: ................................................ złotych), zgodnie z ofertą Wykonawcy złożoną w danym postępowaniu.</w:t>
      </w:r>
    </w:p>
    <w:p w14:paraId="491529D9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Ceny jednostkowe brutto wynikające z formularza oferowanego są stałe i nie podlegają waloryzacji.</w:t>
      </w:r>
    </w:p>
    <w:p w14:paraId="491529DA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498A863C" w:rsidR="001D5F44" w:rsidRPr="00AE7D30" w:rsidRDefault="000058B9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Wykonawca udziela co najmniej </w:t>
      </w:r>
      <w:r w:rsidR="00111F09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24 miesięcznej</w:t>
      </w:r>
      <w:r w:rsidR="00B4635F"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gwarancji na przedmiot zamówienia. Dniem rozpoczęcia biegu gwarancji jest dzień dostawy przedmiotu zamówienia do siedziby Zamawiającego.</w:t>
      </w:r>
    </w:p>
    <w:p w14:paraId="491529DF" w14:textId="77777777" w:rsidR="001D5F44" w:rsidRPr="00AE7D30" w:rsidRDefault="00B4635F">
      <w:pPr>
        <w:spacing w:before="114" w:after="114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2C5F1382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111F09">
        <w:rPr>
          <w:rFonts w:asciiTheme="minorHAnsi" w:eastAsia="ArialMT;Arial" w:hAnsiTheme="minorHAnsi" w:cstheme="minorHAnsi"/>
          <w:b/>
          <w:color w:val="000000"/>
          <w:shd w:val="clear" w:color="auto" w:fill="FFFFFF"/>
        </w:rPr>
        <w:t>3</w:t>
      </w:r>
      <w:r w:rsidR="000058B9" w:rsidRPr="005F3A33">
        <w:rPr>
          <w:rFonts w:asciiTheme="minorHAnsi" w:eastAsia="ArialMT;Arial" w:hAnsiTheme="minorHAnsi" w:cstheme="minorHAnsi"/>
          <w:b/>
          <w:color w:val="000000"/>
          <w:shd w:val="clear" w:color="auto" w:fill="FFFFFF"/>
        </w:rPr>
        <w:t>0 grudnia 2024 roku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0" w:name="_GoBack2"/>
      <w:bookmarkEnd w:id="0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zastrzega sobie prawo nie przyjęcia przedmiotu umowy, jeżeli:</w:t>
      </w:r>
    </w:p>
    <w:p w14:paraId="491529E5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będzie posiadała widoczne uszkodzenia lub wady,</w:t>
      </w:r>
    </w:p>
    <w:p w14:paraId="491529E7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B4635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B4635F">
      <w:pPr>
        <w:spacing w:before="171" w:after="171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576E3000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</w:p>
    <w:p w14:paraId="491529EF" w14:textId="39345E12" w:rsidR="001D5F44" w:rsidRPr="00AE7D30" w:rsidRDefault="00B4635F">
      <w:pPr>
        <w:spacing w:before="57" w:after="257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491529F2" w14:textId="77777777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77777777" w:rsidR="001D5F44" w:rsidRPr="00AE7D30" w:rsidRDefault="00B4635F">
      <w:pPr>
        <w:spacing w:before="114" w:after="314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B4635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491529F9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B" w14:textId="77777777" w:rsidR="001D5F44" w:rsidRPr="004261ED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9FC" w14:textId="77777777" w:rsidR="001D5F44" w:rsidRPr="004261ED" w:rsidRDefault="00B4635F">
      <w:pPr>
        <w:pStyle w:val="Akapitzlist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D" w14:textId="77777777" w:rsidR="001D5F44" w:rsidRPr="004261ED" w:rsidRDefault="001D5F44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</w:p>
    <w:p w14:paraId="491529FE" w14:textId="77777777" w:rsidR="001D5F44" w:rsidRPr="004261ED" w:rsidRDefault="00B4635F">
      <w:pPr>
        <w:pStyle w:val="Akapitzlist"/>
        <w:numPr>
          <w:ilvl w:val="0"/>
          <w:numId w:val="8"/>
        </w:numPr>
        <w:spacing w:beforeAutospacing="1" w:afterAutospacing="1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. Zamawiający może także dokonać zakupu niedostarczonego asortymentu od podmiotu trzeciego na koszt i ryzyko Wykonawcy, co nie wyłącza możliwości naliczania kar umownych o których mowa wyżej</w:t>
      </w:r>
      <w:bookmarkStart w:id="1" w:name="_GoBack11"/>
      <w:bookmarkEnd w:id="1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B4635F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>rozwiązania jej ze 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B4635F">
      <w:pPr>
        <w:pStyle w:val="Akapitzlist"/>
        <w:numPr>
          <w:ilvl w:val="0"/>
          <w:numId w:val="11"/>
        </w:numPr>
        <w:spacing w:beforeAutospacing="1"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Zamawiającego do dochodzenia odszkodowania przenoszącego wysokość zastrzeżonej kary.</w:t>
      </w:r>
    </w:p>
    <w:p w14:paraId="49152A07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A08" w14:textId="77777777" w:rsidR="001D5F44" w:rsidRPr="00AE7D30" w:rsidRDefault="00B4635F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9" w14:textId="77777777" w:rsidR="001D5F44" w:rsidRPr="00AE7D30" w:rsidRDefault="001D5F44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b/>
        </w:rPr>
      </w:pPr>
    </w:p>
    <w:p w14:paraId="49152A0A" w14:textId="77777777" w:rsidR="001D5F44" w:rsidRPr="00AE7D30" w:rsidRDefault="00B4635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B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0C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49152A0D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49152A0E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77136A1A" w14:textId="77777777" w:rsidR="00111F09" w:rsidRDefault="00111F09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A0F" w14:textId="567C3BEA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lastRenderedPageBreak/>
        <w:t>§ 10</w:t>
      </w:r>
    </w:p>
    <w:p w14:paraId="49152A10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1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12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49152A14" w14:textId="77777777" w:rsidR="001D5F44" w:rsidRPr="00AE7D30" w:rsidRDefault="001D5F44">
      <w:pPr>
        <w:jc w:val="center"/>
        <w:rPr>
          <w:rFonts w:asciiTheme="minorHAnsi" w:hAnsiTheme="minorHAnsi" w:cstheme="minorHAnsi"/>
          <w:shd w:val="clear" w:color="auto" w:fill="FFFFFF"/>
        </w:rPr>
      </w:pPr>
    </w:p>
    <w:p w14:paraId="49152A15" w14:textId="77777777" w:rsidR="001D5F44" w:rsidRDefault="00B4635F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8D98B" w14:textId="77777777" w:rsidR="00655F58" w:rsidRDefault="00655F58">
      <w:pPr>
        <w:spacing w:after="0" w:line="240" w:lineRule="auto"/>
      </w:pPr>
      <w:r>
        <w:separator/>
      </w:r>
    </w:p>
  </w:endnote>
  <w:endnote w:type="continuationSeparator" w:id="0">
    <w:p w14:paraId="7977CA3F" w14:textId="77777777" w:rsidR="00655F58" w:rsidRDefault="006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2A16" w14:textId="77777777" w:rsidR="001D5F44" w:rsidRDefault="00B4635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F3A33">
      <w:rPr>
        <w:noProof/>
      </w:rPr>
      <w:t>4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D9F5" w14:textId="77777777" w:rsidR="00655F58" w:rsidRDefault="00655F58">
      <w:pPr>
        <w:spacing w:after="0" w:line="240" w:lineRule="auto"/>
      </w:pPr>
      <w:r>
        <w:separator/>
      </w:r>
    </w:p>
  </w:footnote>
  <w:footnote w:type="continuationSeparator" w:id="0">
    <w:p w14:paraId="562A2ECB" w14:textId="77777777" w:rsidR="00655F58" w:rsidRDefault="0065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B4635F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B4635F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1BE5CDA"/>
    <w:multiLevelType w:val="hybridMultilevel"/>
    <w:tmpl w:val="DE2A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B523BF9"/>
    <w:multiLevelType w:val="hybridMultilevel"/>
    <w:tmpl w:val="D280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02840">
    <w:abstractNumId w:val="7"/>
  </w:num>
  <w:num w:numId="2" w16cid:durableId="376511200">
    <w:abstractNumId w:val="14"/>
  </w:num>
  <w:num w:numId="3" w16cid:durableId="1507357212">
    <w:abstractNumId w:val="1"/>
  </w:num>
  <w:num w:numId="4" w16cid:durableId="1257636778">
    <w:abstractNumId w:val="9"/>
  </w:num>
  <w:num w:numId="5" w16cid:durableId="2029140877">
    <w:abstractNumId w:val="5"/>
  </w:num>
  <w:num w:numId="6" w16cid:durableId="854266461">
    <w:abstractNumId w:val="10"/>
  </w:num>
  <w:num w:numId="7" w16cid:durableId="1682003616">
    <w:abstractNumId w:val="8"/>
  </w:num>
  <w:num w:numId="8" w16cid:durableId="15737674">
    <w:abstractNumId w:val="6"/>
  </w:num>
  <w:num w:numId="9" w16cid:durableId="1148940974">
    <w:abstractNumId w:val="0"/>
  </w:num>
  <w:num w:numId="10" w16cid:durableId="715197686">
    <w:abstractNumId w:val="3"/>
  </w:num>
  <w:num w:numId="11" w16cid:durableId="1031685789">
    <w:abstractNumId w:val="12"/>
  </w:num>
  <w:num w:numId="12" w16cid:durableId="186522814">
    <w:abstractNumId w:val="16"/>
  </w:num>
  <w:num w:numId="13" w16cid:durableId="1027365671">
    <w:abstractNumId w:val="2"/>
  </w:num>
  <w:num w:numId="14" w16cid:durableId="769665160">
    <w:abstractNumId w:val="11"/>
  </w:num>
  <w:num w:numId="15" w16cid:durableId="134139546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9711347">
    <w:abstractNumId w:val="15"/>
  </w:num>
  <w:num w:numId="17" w16cid:durableId="1430004988">
    <w:abstractNumId w:val="17"/>
  </w:num>
  <w:num w:numId="18" w16cid:durableId="654264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44"/>
    <w:rsid w:val="000058B9"/>
    <w:rsid w:val="00023842"/>
    <w:rsid w:val="000567A7"/>
    <w:rsid w:val="00111F09"/>
    <w:rsid w:val="001C22E9"/>
    <w:rsid w:val="001D45F4"/>
    <w:rsid w:val="001D5F44"/>
    <w:rsid w:val="00252FAB"/>
    <w:rsid w:val="00294989"/>
    <w:rsid w:val="00350DA7"/>
    <w:rsid w:val="004261ED"/>
    <w:rsid w:val="00437CC2"/>
    <w:rsid w:val="004478E5"/>
    <w:rsid w:val="005C7472"/>
    <w:rsid w:val="005D5C5C"/>
    <w:rsid w:val="005F3A33"/>
    <w:rsid w:val="00601575"/>
    <w:rsid w:val="00620D3B"/>
    <w:rsid w:val="00655F58"/>
    <w:rsid w:val="00807460"/>
    <w:rsid w:val="00834CCC"/>
    <w:rsid w:val="00834D25"/>
    <w:rsid w:val="00884895"/>
    <w:rsid w:val="0088760D"/>
    <w:rsid w:val="008B1D30"/>
    <w:rsid w:val="009975DC"/>
    <w:rsid w:val="00A72EA6"/>
    <w:rsid w:val="00AB5BAA"/>
    <w:rsid w:val="00AC045E"/>
    <w:rsid w:val="00AE7D30"/>
    <w:rsid w:val="00B22D7F"/>
    <w:rsid w:val="00B4635F"/>
    <w:rsid w:val="00B47DA6"/>
    <w:rsid w:val="00B5109C"/>
    <w:rsid w:val="00BB3F19"/>
    <w:rsid w:val="00C004A3"/>
    <w:rsid w:val="00C13F1B"/>
    <w:rsid w:val="00C70B78"/>
    <w:rsid w:val="00D7059A"/>
    <w:rsid w:val="00D9785E"/>
    <w:rsid w:val="00DF1BCD"/>
    <w:rsid w:val="00E159F5"/>
    <w:rsid w:val="00E25726"/>
    <w:rsid w:val="00F11D8C"/>
    <w:rsid w:val="00F4429E"/>
    <w:rsid w:val="00FB2CB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A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5F3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B531-BCDD-4B36-BCE1-869EF7AE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6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112</cp:revision>
  <cp:lastPrinted>2024-12-06T09:05:00Z</cp:lastPrinted>
  <dcterms:created xsi:type="dcterms:W3CDTF">2017-02-27T10:54:00Z</dcterms:created>
  <dcterms:modified xsi:type="dcterms:W3CDTF">2024-12-08T15:59:00Z</dcterms:modified>
  <dc:language>pl-PL</dc:language>
</cp:coreProperties>
</file>